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40" w:rsidRDefault="008E6A40" w:rsidP="008E6A40">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Огляд даних</w:t>
      </w:r>
    </w:p>
    <w:p w:rsidR="008E6A40" w:rsidRDefault="008E6A40" w:rsidP="008E6A40">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 стан здійснення судочинства</w:t>
      </w:r>
    </w:p>
    <w:p w:rsidR="008E6A40" w:rsidRDefault="008E6A40" w:rsidP="008E6A40">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Запорізьким окружним адміністративним судом </w:t>
      </w:r>
    </w:p>
    <w:p w:rsidR="008E6A40" w:rsidRDefault="008E6A40" w:rsidP="008E6A40">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у 201</w:t>
      </w:r>
      <w:r w:rsidR="00E95FB3">
        <w:rPr>
          <w:rFonts w:ascii="Times New Roman" w:hAnsi="Times New Roman" w:cs="Times New Roman"/>
          <w:b/>
          <w:bCs/>
          <w:sz w:val="24"/>
          <w:szCs w:val="24"/>
          <w:lang w:val="uk-UA"/>
        </w:rPr>
        <w:t>7</w:t>
      </w:r>
      <w:r>
        <w:rPr>
          <w:rFonts w:ascii="Times New Roman" w:hAnsi="Times New Roman" w:cs="Times New Roman"/>
          <w:b/>
          <w:bCs/>
          <w:sz w:val="24"/>
          <w:szCs w:val="24"/>
          <w:lang w:val="uk-UA"/>
        </w:rPr>
        <w:t xml:space="preserve"> році</w:t>
      </w:r>
    </w:p>
    <w:p w:rsidR="008E6A40" w:rsidRDefault="008E6A40" w:rsidP="008E6A40">
      <w:pPr>
        <w:spacing w:after="0" w:line="240" w:lineRule="auto"/>
        <w:jc w:val="both"/>
        <w:rPr>
          <w:rFonts w:ascii="Times New Roman" w:hAnsi="Times New Roman" w:cs="Times New Roman"/>
          <w:b/>
          <w:bCs/>
          <w:sz w:val="24"/>
          <w:szCs w:val="24"/>
          <w:lang w:val="uk-UA"/>
        </w:rPr>
      </w:pPr>
    </w:p>
    <w:p w:rsidR="00353B3A" w:rsidRPr="005C06B1" w:rsidRDefault="008E6A40" w:rsidP="00353B3A">
      <w:pPr>
        <w:pStyle w:val="ac"/>
        <w:spacing w:before="0" w:beforeAutospacing="0" w:after="0" w:afterAutospacing="0"/>
        <w:ind w:firstLine="708"/>
        <w:jc w:val="both"/>
        <w:rPr>
          <w:lang w:val="uk-UA"/>
        </w:rPr>
      </w:pPr>
      <w:r w:rsidRPr="00E86504">
        <w:rPr>
          <w:lang w:val="uk-UA"/>
        </w:rPr>
        <w:t>Метою даного аналізу є дослідження стану здійснення судочинства Запорізьким окружним адміністративним судом, порівняння кількісних показників судових справ та матеріалів, що надійшли на розгляд суду у звітному періоді, з відповідними показниками у попередніх роках, надання оцінки якості та своєчасності розгляду</w:t>
      </w:r>
      <w:r w:rsidR="00E86504" w:rsidRPr="00E86504">
        <w:rPr>
          <w:color w:val="555577"/>
          <w:lang w:val="uk-UA"/>
        </w:rPr>
        <w:t xml:space="preserve"> </w:t>
      </w:r>
      <w:r w:rsidR="00F64BF0" w:rsidRPr="005C06B1">
        <w:rPr>
          <w:lang w:val="uk-UA"/>
        </w:rPr>
        <w:t xml:space="preserve">адміністративних справ, а також </w:t>
      </w:r>
      <w:r w:rsidR="00E86504" w:rsidRPr="005C06B1">
        <w:rPr>
          <w:lang w:val="uk-UA"/>
        </w:rPr>
        <w:t>з метою вжиття заходів направлених на</w:t>
      </w:r>
      <w:r w:rsidR="005C06B1">
        <w:rPr>
          <w:lang w:val="uk-UA"/>
        </w:rPr>
        <w:t xml:space="preserve"> </w:t>
      </w:r>
      <w:r w:rsidR="00E86504" w:rsidRPr="005C06B1">
        <w:rPr>
          <w:lang w:val="uk-UA"/>
        </w:rPr>
        <w:t>покращення</w:t>
      </w:r>
      <w:r w:rsidR="005C06B1">
        <w:rPr>
          <w:lang w:val="uk-UA"/>
        </w:rPr>
        <w:t xml:space="preserve"> </w:t>
      </w:r>
      <w:r w:rsidR="00E86504" w:rsidRPr="005C06B1">
        <w:rPr>
          <w:lang w:val="uk-UA"/>
        </w:rPr>
        <w:t>показників р</w:t>
      </w:r>
      <w:r w:rsidR="005C06B1">
        <w:rPr>
          <w:lang w:val="uk-UA"/>
        </w:rPr>
        <w:t>оботи суду.</w:t>
      </w:r>
    </w:p>
    <w:p w:rsidR="008E5227" w:rsidRPr="00A17B8D" w:rsidRDefault="008E5227" w:rsidP="008E5227">
      <w:pPr>
        <w:pStyle w:val="ac"/>
        <w:spacing w:before="0" w:beforeAutospacing="0" w:after="0" w:afterAutospacing="0"/>
        <w:ind w:firstLine="708"/>
        <w:jc w:val="both"/>
        <w:rPr>
          <w:lang w:val="uk-UA"/>
        </w:rPr>
      </w:pPr>
      <w:r w:rsidRPr="00A17B8D">
        <w:rPr>
          <w:lang w:val="uk-UA"/>
        </w:rPr>
        <w:t>Огляд даних здійснено на підставі офіційних статистичних даних звітів Запорізького окружного адміністративного за 201</w:t>
      </w:r>
      <w:r w:rsidR="00E95FB3">
        <w:rPr>
          <w:lang w:val="uk-UA"/>
        </w:rPr>
        <w:t>7</w:t>
      </w:r>
      <w:r w:rsidRPr="00A17B8D">
        <w:rPr>
          <w:lang w:val="uk-UA"/>
        </w:rPr>
        <w:t xml:space="preserve"> р</w:t>
      </w:r>
      <w:r>
        <w:rPr>
          <w:lang w:val="uk-UA"/>
        </w:rPr>
        <w:t>ік</w:t>
      </w:r>
      <w:r w:rsidRPr="00A17B8D">
        <w:rPr>
          <w:lang w:val="uk-UA"/>
        </w:rPr>
        <w:t xml:space="preserve"> форми № 2-а, № 3, № 4, інформації про основні показники здійснення судочинства, статистичних даних звіту форми № 10 про справляння, звільнення від сплати та повернення судового</w:t>
      </w:r>
      <w:r>
        <w:rPr>
          <w:lang w:val="uk-UA"/>
        </w:rPr>
        <w:t>,</w:t>
      </w:r>
      <w:r w:rsidRPr="00A17B8D">
        <w:rPr>
          <w:lang w:val="uk-UA"/>
        </w:rPr>
        <w:t xml:space="preserve"> Базових показників роботи суду форма якого затверджена рішенням Ради суддів Украї</w:t>
      </w:r>
      <w:r w:rsidR="00E95FB3">
        <w:rPr>
          <w:lang w:val="uk-UA"/>
        </w:rPr>
        <w:t>ни №28 від 02 квітня 2015 року, даних звіту 1-ОАС.</w:t>
      </w:r>
    </w:p>
    <w:p w:rsidR="008E6A40" w:rsidRDefault="008E6A40" w:rsidP="008E6A40">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Статтею 2 Кодексу адміністративного судочинства України на адміністративне судочинство покладено завдання захищати права, свободи та інтереси фізичних осіб, права та інтереси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а також інших суб’єктів при здійсненні ними владних управлінських функцій на основі законодавства, в тому числі на виконання делегованих повноважень.</w:t>
      </w:r>
    </w:p>
    <w:p w:rsidR="008E6A40" w:rsidRDefault="008E6A40" w:rsidP="008E6A4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Запорізький окружний адміністративний суд був утворений Указом Президента України від 16.11.200</w:t>
      </w:r>
      <w:r w:rsidR="00BB787C">
        <w:rPr>
          <w:rFonts w:ascii="Times New Roman" w:hAnsi="Times New Roman" w:cs="Times New Roman"/>
          <w:sz w:val="24"/>
          <w:szCs w:val="24"/>
          <w:lang w:val="uk-UA"/>
        </w:rPr>
        <w:t>4</w:t>
      </w:r>
      <w:r>
        <w:rPr>
          <w:rFonts w:ascii="Times New Roman" w:hAnsi="Times New Roman" w:cs="Times New Roman"/>
          <w:sz w:val="24"/>
          <w:szCs w:val="24"/>
          <w:lang w:val="uk-UA"/>
        </w:rPr>
        <w:t xml:space="preserve"> № 1417/200</w:t>
      </w:r>
      <w:r w:rsidR="00BB787C">
        <w:rPr>
          <w:rFonts w:ascii="Times New Roman" w:hAnsi="Times New Roman" w:cs="Times New Roman"/>
          <w:sz w:val="24"/>
          <w:szCs w:val="24"/>
          <w:lang w:val="uk-UA"/>
        </w:rPr>
        <w:t>4</w:t>
      </w:r>
      <w:r>
        <w:rPr>
          <w:rFonts w:ascii="Times New Roman" w:hAnsi="Times New Roman" w:cs="Times New Roman"/>
          <w:sz w:val="24"/>
          <w:szCs w:val="24"/>
          <w:lang w:val="uk-UA"/>
        </w:rPr>
        <w:t xml:space="preserve"> «Про утворення місцевих та апеляційних адміністративних судів, затвердження їх мережі та кількісного складу суддів».</w:t>
      </w:r>
    </w:p>
    <w:p w:rsidR="008E6A40" w:rsidRDefault="008E6A40" w:rsidP="008E6A40">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суду як юридичної особи була проведена 04.10.2007. Здійснення судочинства Запорізьким окружним адміністративним судом було розпочато 29.12.2008, відповідно до вимог пункту 4 Прикінцевих та перехідних положень Кодексу адміністративного судочинства України.</w:t>
      </w:r>
    </w:p>
    <w:p w:rsidR="005978E9" w:rsidRDefault="00A206B7" w:rsidP="00A206B7">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Відповідно до наказу Державної судової адміністрації України від </w:t>
      </w:r>
      <w:r w:rsidR="00BB787C">
        <w:rPr>
          <w:rFonts w:ascii="Times New Roman" w:hAnsi="Times New Roman"/>
          <w:sz w:val="24"/>
          <w:szCs w:val="24"/>
          <w:lang w:val="uk-UA"/>
        </w:rPr>
        <w:t>08.08</w:t>
      </w:r>
      <w:r>
        <w:rPr>
          <w:rFonts w:ascii="Times New Roman" w:hAnsi="Times New Roman"/>
          <w:sz w:val="24"/>
          <w:szCs w:val="24"/>
          <w:lang w:val="uk-UA"/>
        </w:rPr>
        <w:t>.201</w:t>
      </w:r>
      <w:r w:rsidR="00BB787C">
        <w:rPr>
          <w:rFonts w:ascii="Times New Roman" w:hAnsi="Times New Roman"/>
          <w:sz w:val="24"/>
          <w:szCs w:val="24"/>
          <w:lang w:val="uk-UA"/>
        </w:rPr>
        <w:t>7</w:t>
      </w:r>
      <w:r>
        <w:rPr>
          <w:rFonts w:ascii="Times New Roman" w:hAnsi="Times New Roman"/>
          <w:sz w:val="24"/>
          <w:szCs w:val="24"/>
          <w:lang w:val="uk-UA"/>
        </w:rPr>
        <w:t xml:space="preserve"> №</w:t>
      </w:r>
      <w:r w:rsidR="00BB787C">
        <w:rPr>
          <w:rFonts w:ascii="Times New Roman" w:hAnsi="Times New Roman"/>
          <w:sz w:val="24"/>
          <w:szCs w:val="24"/>
          <w:lang w:val="uk-UA"/>
        </w:rPr>
        <w:t> 841</w:t>
      </w:r>
      <w:r>
        <w:rPr>
          <w:rFonts w:ascii="Times New Roman" w:hAnsi="Times New Roman"/>
          <w:sz w:val="24"/>
          <w:szCs w:val="24"/>
          <w:lang w:val="uk-UA"/>
        </w:rPr>
        <w:t xml:space="preserve"> «Про визначення кількості суддів у адміністративних судах України» у штатному розписі Запорізького окружного адміністративного суду передбачено </w:t>
      </w:r>
      <w:r w:rsidRPr="009B2E01">
        <w:rPr>
          <w:rFonts w:ascii="Times New Roman" w:hAnsi="Times New Roman"/>
          <w:b/>
          <w:sz w:val="24"/>
          <w:szCs w:val="24"/>
          <w:lang w:val="uk-UA"/>
        </w:rPr>
        <w:t>28</w:t>
      </w:r>
      <w:r>
        <w:rPr>
          <w:rFonts w:ascii="Times New Roman" w:hAnsi="Times New Roman"/>
          <w:sz w:val="24"/>
          <w:szCs w:val="24"/>
          <w:lang w:val="uk-UA"/>
        </w:rPr>
        <w:t xml:space="preserve"> посад суддів</w:t>
      </w:r>
      <w:r w:rsidRPr="00863CFE">
        <w:rPr>
          <w:rFonts w:ascii="Times New Roman" w:hAnsi="Times New Roman"/>
          <w:sz w:val="24"/>
          <w:szCs w:val="24"/>
          <w:lang w:val="uk-UA"/>
        </w:rPr>
        <w:t>.</w:t>
      </w:r>
      <w:r w:rsidRPr="00A206B7">
        <w:rPr>
          <w:rFonts w:ascii="Times New Roman" w:hAnsi="Times New Roman"/>
          <w:sz w:val="24"/>
          <w:szCs w:val="24"/>
          <w:lang w:val="uk-UA"/>
        </w:rPr>
        <w:t xml:space="preserve"> </w:t>
      </w:r>
    </w:p>
    <w:p w:rsidR="005978E9" w:rsidRPr="00950A25" w:rsidRDefault="005978E9" w:rsidP="005978E9">
      <w:pPr>
        <w:spacing w:after="0" w:line="240" w:lineRule="auto"/>
        <w:ind w:firstLine="708"/>
        <w:jc w:val="both"/>
        <w:rPr>
          <w:rFonts w:ascii="Times New Roman" w:hAnsi="Times New Roman" w:cs="Times New Roman"/>
          <w:sz w:val="24"/>
          <w:szCs w:val="24"/>
          <w:lang w:val="uk-UA"/>
        </w:rPr>
      </w:pPr>
      <w:r>
        <w:rPr>
          <w:rFonts w:ascii="Times New Roman" w:hAnsi="Times New Roman"/>
          <w:sz w:val="24"/>
          <w:szCs w:val="24"/>
          <w:lang w:val="uk-UA"/>
        </w:rPr>
        <w:t>К</w:t>
      </w:r>
      <w:r w:rsidRPr="00950A25">
        <w:rPr>
          <w:rFonts w:ascii="Times New Roman" w:hAnsi="Times New Roman"/>
          <w:sz w:val="24"/>
          <w:szCs w:val="24"/>
          <w:lang w:val="uk-UA"/>
        </w:rPr>
        <w:t xml:space="preserve">ількість зайнятих посад суддів у звітному періоді становила 22, з них не мають повноваження по відправленню правосуддя </w:t>
      </w:r>
      <w:r>
        <w:rPr>
          <w:rFonts w:ascii="Times New Roman" w:hAnsi="Times New Roman"/>
          <w:sz w:val="24"/>
          <w:szCs w:val="24"/>
          <w:lang w:val="uk-UA"/>
        </w:rPr>
        <w:t>9</w:t>
      </w:r>
      <w:r w:rsidRPr="00950A25">
        <w:rPr>
          <w:rFonts w:ascii="Times New Roman" w:hAnsi="Times New Roman"/>
          <w:sz w:val="24"/>
          <w:szCs w:val="24"/>
          <w:lang w:val="uk-UA"/>
        </w:rPr>
        <w:t xml:space="preserve"> суддів</w:t>
      </w:r>
      <w:r w:rsidR="00B5019D">
        <w:rPr>
          <w:rFonts w:ascii="Times New Roman" w:hAnsi="Times New Roman"/>
          <w:sz w:val="24"/>
          <w:szCs w:val="24"/>
          <w:lang w:val="uk-UA"/>
        </w:rPr>
        <w:t>,</w:t>
      </w:r>
      <w:r w:rsidRPr="00950A25">
        <w:rPr>
          <w:rFonts w:ascii="Times New Roman" w:hAnsi="Times New Roman"/>
          <w:sz w:val="24"/>
          <w:szCs w:val="24"/>
          <w:lang w:val="uk-UA"/>
        </w:rPr>
        <w:t xml:space="preserve"> </w:t>
      </w:r>
      <w:r w:rsidR="00B5019D">
        <w:rPr>
          <w:rFonts w:ascii="Times New Roman" w:hAnsi="Times New Roman"/>
          <w:sz w:val="24"/>
          <w:szCs w:val="24"/>
          <w:lang w:val="uk-UA"/>
        </w:rPr>
        <w:t>2 судді вийшли у відставку,</w:t>
      </w:r>
      <w:r w:rsidRPr="00950A25">
        <w:rPr>
          <w:rFonts w:ascii="Times New Roman" w:hAnsi="Times New Roman"/>
          <w:sz w:val="24"/>
          <w:szCs w:val="24"/>
          <w:lang w:val="uk-UA"/>
        </w:rPr>
        <w:t xml:space="preserve"> </w:t>
      </w:r>
      <w:r>
        <w:rPr>
          <w:rFonts w:ascii="Times New Roman" w:hAnsi="Times New Roman"/>
          <w:sz w:val="24"/>
          <w:szCs w:val="24"/>
          <w:lang w:val="uk-UA"/>
        </w:rPr>
        <w:t>1</w:t>
      </w:r>
      <w:r w:rsidRPr="00950A25">
        <w:rPr>
          <w:rFonts w:ascii="Times New Roman" w:hAnsi="Times New Roman"/>
          <w:sz w:val="24"/>
          <w:szCs w:val="24"/>
          <w:lang w:val="uk-UA"/>
        </w:rPr>
        <w:t xml:space="preserve"> судд</w:t>
      </w:r>
      <w:r>
        <w:rPr>
          <w:rFonts w:ascii="Times New Roman" w:hAnsi="Times New Roman"/>
          <w:sz w:val="24"/>
          <w:szCs w:val="24"/>
          <w:lang w:val="uk-UA"/>
        </w:rPr>
        <w:t>я</w:t>
      </w:r>
      <w:r w:rsidRPr="00950A25">
        <w:rPr>
          <w:rFonts w:ascii="Times New Roman" w:hAnsi="Times New Roman"/>
          <w:sz w:val="24"/>
          <w:szCs w:val="24"/>
          <w:lang w:val="uk-UA"/>
        </w:rPr>
        <w:t xml:space="preserve"> перебува</w:t>
      </w:r>
      <w:r>
        <w:rPr>
          <w:rFonts w:ascii="Times New Roman" w:hAnsi="Times New Roman"/>
          <w:sz w:val="24"/>
          <w:szCs w:val="24"/>
          <w:lang w:val="uk-UA"/>
        </w:rPr>
        <w:t>є</w:t>
      </w:r>
      <w:r w:rsidRPr="00950A25">
        <w:rPr>
          <w:rFonts w:ascii="Times New Roman" w:hAnsi="Times New Roman"/>
          <w:sz w:val="24"/>
          <w:szCs w:val="24"/>
          <w:lang w:val="uk-UA"/>
        </w:rPr>
        <w:t xml:space="preserve"> у відпустці по догляду за дитиною до досягнення нею трирічного віку. Розгляд адміністративних справ у суді фактично здійснювали 1</w:t>
      </w:r>
      <w:r>
        <w:rPr>
          <w:rFonts w:ascii="Times New Roman" w:hAnsi="Times New Roman"/>
          <w:sz w:val="24"/>
          <w:szCs w:val="24"/>
          <w:lang w:val="uk-UA"/>
        </w:rPr>
        <w:t>0</w:t>
      </w:r>
      <w:r w:rsidRPr="00950A25">
        <w:rPr>
          <w:rFonts w:ascii="Times New Roman" w:hAnsi="Times New Roman"/>
          <w:sz w:val="24"/>
          <w:szCs w:val="24"/>
          <w:lang w:val="uk-UA"/>
        </w:rPr>
        <w:t xml:space="preserve"> суддів. </w:t>
      </w:r>
    </w:p>
    <w:p w:rsidR="00877749" w:rsidRDefault="00877749" w:rsidP="00877749">
      <w:pPr>
        <w:spacing w:after="0" w:line="240" w:lineRule="auto"/>
        <w:jc w:val="center"/>
        <w:rPr>
          <w:rFonts w:ascii="Times New Roman" w:hAnsi="Times New Roman" w:cs="Times New Roman"/>
          <w:b/>
          <w:sz w:val="24"/>
          <w:szCs w:val="24"/>
          <w:lang w:val="uk-UA"/>
        </w:rPr>
      </w:pPr>
    </w:p>
    <w:p w:rsidR="00877749" w:rsidRDefault="00877749" w:rsidP="00877749">
      <w:pPr>
        <w:spacing w:after="0" w:line="240" w:lineRule="auto"/>
        <w:jc w:val="center"/>
        <w:rPr>
          <w:rFonts w:ascii="Times New Roman" w:hAnsi="Times New Roman" w:cs="Times New Roman"/>
          <w:b/>
          <w:sz w:val="24"/>
          <w:szCs w:val="24"/>
          <w:lang w:val="uk-UA"/>
        </w:rPr>
      </w:pPr>
      <w:r w:rsidRPr="00950A25">
        <w:rPr>
          <w:rFonts w:ascii="Times New Roman" w:hAnsi="Times New Roman" w:cs="Times New Roman"/>
          <w:b/>
          <w:sz w:val="24"/>
          <w:szCs w:val="24"/>
          <w:lang w:val="uk-UA"/>
        </w:rPr>
        <w:t>Розгляд справ та матеріалів</w:t>
      </w:r>
    </w:p>
    <w:p w:rsidR="00877749" w:rsidRPr="00950A25" w:rsidRDefault="00877749" w:rsidP="00877749">
      <w:pPr>
        <w:spacing w:after="0" w:line="240" w:lineRule="auto"/>
        <w:jc w:val="center"/>
        <w:rPr>
          <w:rFonts w:ascii="Times New Roman" w:hAnsi="Times New Roman" w:cs="Times New Roman"/>
          <w:b/>
          <w:sz w:val="24"/>
          <w:szCs w:val="24"/>
          <w:lang w:val="uk-UA"/>
        </w:rPr>
      </w:pPr>
    </w:p>
    <w:p w:rsidR="00877749" w:rsidRPr="00950A25" w:rsidRDefault="00877749" w:rsidP="00877749">
      <w:pPr>
        <w:spacing w:after="0" w:line="240" w:lineRule="auto"/>
        <w:ind w:firstLine="720"/>
        <w:jc w:val="both"/>
        <w:rPr>
          <w:rFonts w:ascii="Times New Roman" w:hAnsi="Times New Roman"/>
          <w:sz w:val="24"/>
          <w:szCs w:val="24"/>
          <w:lang w:val="uk-UA"/>
        </w:rPr>
      </w:pPr>
      <w:r w:rsidRPr="00950A25">
        <w:rPr>
          <w:rFonts w:ascii="Times New Roman" w:hAnsi="Times New Roman"/>
          <w:sz w:val="24"/>
          <w:szCs w:val="24"/>
          <w:lang w:val="uk-UA"/>
        </w:rPr>
        <w:t>За даними статистичної звітності за 2017 р</w:t>
      </w:r>
      <w:r>
        <w:rPr>
          <w:rFonts w:ascii="Times New Roman" w:hAnsi="Times New Roman"/>
          <w:sz w:val="24"/>
          <w:szCs w:val="24"/>
          <w:lang w:val="uk-UA"/>
        </w:rPr>
        <w:t>ік</w:t>
      </w:r>
      <w:r w:rsidRPr="00950A25">
        <w:rPr>
          <w:rFonts w:ascii="Times New Roman" w:hAnsi="Times New Roman"/>
          <w:sz w:val="24"/>
          <w:szCs w:val="24"/>
          <w:lang w:val="uk-UA"/>
        </w:rPr>
        <w:t xml:space="preserve">, у звітному періоді на розгляді Запорізького окружного адміністративного суду перебували </w:t>
      </w:r>
      <w:r>
        <w:rPr>
          <w:rFonts w:ascii="Times New Roman" w:hAnsi="Times New Roman"/>
          <w:sz w:val="24"/>
          <w:szCs w:val="24"/>
          <w:lang w:val="uk-UA"/>
        </w:rPr>
        <w:t>6710</w:t>
      </w:r>
      <w:r w:rsidRPr="00950A25">
        <w:rPr>
          <w:rFonts w:ascii="Times New Roman" w:hAnsi="Times New Roman"/>
          <w:sz w:val="24"/>
          <w:szCs w:val="24"/>
          <w:lang w:val="uk-UA"/>
        </w:rPr>
        <w:t xml:space="preserve"> адміністративних справ та матеріалів, з яких у звітному періоді надійшло </w:t>
      </w:r>
      <w:r>
        <w:rPr>
          <w:rFonts w:ascii="Times New Roman" w:hAnsi="Times New Roman"/>
          <w:sz w:val="24"/>
          <w:szCs w:val="24"/>
          <w:lang w:val="uk-UA"/>
        </w:rPr>
        <w:t>5597</w:t>
      </w:r>
      <w:r w:rsidR="00FD7F1A">
        <w:rPr>
          <w:rFonts w:ascii="Times New Roman" w:hAnsi="Times New Roman"/>
          <w:sz w:val="24"/>
          <w:szCs w:val="24"/>
          <w:lang w:val="uk-UA"/>
        </w:rPr>
        <w:t xml:space="preserve"> (на </w:t>
      </w:r>
      <w:r w:rsidR="00FD7F1A" w:rsidRPr="00FD7F1A">
        <w:rPr>
          <w:rFonts w:ascii="Times New Roman" w:hAnsi="Times New Roman"/>
          <w:b/>
          <w:sz w:val="24"/>
          <w:szCs w:val="24"/>
          <w:lang w:val="uk-UA"/>
        </w:rPr>
        <w:t>14,7</w:t>
      </w:r>
      <w:r w:rsidR="00FD7F1A">
        <w:rPr>
          <w:rFonts w:ascii="Times New Roman" w:hAnsi="Times New Roman"/>
          <w:sz w:val="24"/>
          <w:szCs w:val="24"/>
          <w:lang w:val="uk-UA"/>
        </w:rPr>
        <w:t>% більше ніж у 2016 році (4881))</w:t>
      </w:r>
      <w:r w:rsidRPr="00950A25">
        <w:rPr>
          <w:rFonts w:ascii="Times New Roman" w:hAnsi="Times New Roman"/>
          <w:sz w:val="24"/>
          <w:szCs w:val="24"/>
          <w:lang w:val="uk-UA"/>
        </w:rPr>
        <w:t>, залишок не розглянутих справ та матеріалів на початок звітного періоду становив </w:t>
      </w:r>
      <w:r w:rsidR="000E7518">
        <w:rPr>
          <w:rFonts w:ascii="Times New Roman" w:hAnsi="Times New Roman"/>
          <w:sz w:val="24"/>
          <w:szCs w:val="24"/>
          <w:lang w:val="uk-UA"/>
        </w:rPr>
        <w:t>1113</w:t>
      </w:r>
      <w:r w:rsidRPr="00950A25">
        <w:rPr>
          <w:rFonts w:ascii="Times New Roman" w:hAnsi="Times New Roman"/>
          <w:sz w:val="24"/>
          <w:szCs w:val="24"/>
          <w:lang w:val="uk-UA"/>
        </w:rPr>
        <w:t>.</w:t>
      </w:r>
    </w:p>
    <w:p w:rsidR="00877749" w:rsidRPr="00950A25" w:rsidRDefault="00877749" w:rsidP="00877749">
      <w:pPr>
        <w:shd w:val="clear" w:color="auto" w:fill="FFFFFF"/>
        <w:spacing w:after="0" w:line="240" w:lineRule="auto"/>
        <w:ind w:firstLine="708"/>
        <w:jc w:val="both"/>
        <w:rPr>
          <w:rFonts w:ascii="Times New Roman" w:hAnsi="Times New Roman"/>
          <w:sz w:val="24"/>
          <w:szCs w:val="24"/>
          <w:lang w:val="uk-UA"/>
        </w:rPr>
      </w:pPr>
      <w:r w:rsidRPr="00950A25">
        <w:rPr>
          <w:rFonts w:ascii="Times New Roman" w:hAnsi="Times New Roman"/>
          <w:sz w:val="24"/>
          <w:szCs w:val="24"/>
          <w:lang w:val="uk-UA"/>
        </w:rPr>
        <w:t xml:space="preserve">Розглянуто </w:t>
      </w:r>
      <w:r w:rsidR="000E7518">
        <w:rPr>
          <w:rFonts w:ascii="Times New Roman" w:hAnsi="Times New Roman"/>
          <w:sz w:val="24"/>
          <w:szCs w:val="24"/>
          <w:lang w:val="uk-UA"/>
        </w:rPr>
        <w:t>5441</w:t>
      </w:r>
      <w:r w:rsidRPr="00950A25">
        <w:rPr>
          <w:rFonts w:ascii="Times New Roman" w:hAnsi="Times New Roman"/>
          <w:sz w:val="24"/>
          <w:szCs w:val="24"/>
          <w:lang w:val="uk-UA"/>
        </w:rPr>
        <w:t xml:space="preserve"> справ</w:t>
      </w:r>
      <w:r w:rsidR="000E7518">
        <w:rPr>
          <w:rFonts w:ascii="Times New Roman" w:hAnsi="Times New Roman"/>
          <w:sz w:val="24"/>
          <w:szCs w:val="24"/>
          <w:lang w:val="uk-UA"/>
        </w:rPr>
        <w:t>у</w:t>
      </w:r>
      <w:r w:rsidRPr="00950A25">
        <w:rPr>
          <w:rFonts w:ascii="Times New Roman" w:hAnsi="Times New Roman"/>
          <w:sz w:val="24"/>
          <w:szCs w:val="24"/>
          <w:lang w:val="uk-UA"/>
        </w:rPr>
        <w:t xml:space="preserve"> та матеріалів, що на </w:t>
      </w:r>
      <w:r w:rsidR="000E7518">
        <w:rPr>
          <w:rFonts w:ascii="Times New Roman" w:hAnsi="Times New Roman"/>
          <w:sz w:val="24"/>
          <w:szCs w:val="24"/>
          <w:lang w:val="uk-UA"/>
        </w:rPr>
        <w:t>11</w:t>
      </w:r>
      <w:r w:rsidRPr="00950A25">
        <w:rPr>
          <w:rFonts w:ascii="Times New Roman" w:hAnsi="Times New Roman"/>
          <w:sz w:val="24"/>
          <w:szCs w:val="24"/>
          <w:lang w:val="uk-UA"/>
        </w:rPr>
        <w:t>,</w:t>
      </w:r>
      <w:r w:rsidR="000E7518">
        <w:rPr>
          <w:rFonts w:ascii="Times New Roman" w:hAnsi="Times New Roman"/>
          <w:sz w:val="24"/>
          <w:szCs w:val="24"/>
          <w:lang w:val="uk-UA"/>
        </w:rPr>
        <w:t>6</w:t>
      </w:r>
      <w:r w:rsidRPr="00950A25">
        <w:rPr>
          <w:rFonts w:ascii="Times New Roman" w:hAnsi="Times New Roman"/>
          <w:sz w:val="24"/>
          <w:szCs w:val="24"/>
          <w:lang w:val="uk-UA"/>
        </w:rPr>
        <w:t>% більше, ніж за аналогічний період 2016 року (</w:t>
      </w:r>
      <w:r w:rsidR="000E7518">
        <w:rPr>
          <w:rFonts w:ascii="Times New Roman" w:hAnsi="Times New Roman"/>
          <w:sz w:val="24"/>
          <w:szCs w:val="24"/>
          <w:lang w:val="uk-UA"/>
        </w:rPr>
        <w:t>4873</w:t>
      </w:r>
      <w:r w:rsidRPr="00950A25">
        <w:rPr>
          <w:rFonts w:ascii="Times New Roman" w:hAnsi="Times New Roman"/>
          <w:sz w:val="24"/>
          <w:szCs w:val="24"/>
          <w:lang w:val="uk-UA"/>
        </w:rPr>
        <w:t xml:space="preserve">), та становить </w:t>
      </w:r>
      <w:r w:rsidR="00C61114" w:rsidRPr="00C61114">
        <w:rPr>
          <w:rFonts w:ascii="Times New Roman" w:hAnsi="Times New Roman"/>
          <w:b/>
          <w:sz w:val="24"/>
          <w:szCs w:val="24"/>
          <w:lang w:val="uk-UA"/>
        </w:rPr>
        <w:t>81</w:t>
      </w:r>
      <w:r w:rsidRPr="00C61114">
        <w:rPr>
          <w:rFonts w:ascii="Times New Roman" w:hAnsi="Times New Roman"/>
          <w:b/>
          <w:sz w:val="24"/>
          <w:szCs w:val="24"/>
          <w:lang w:val="uk-UA"/>
        </w:rPr>
        <w:t>,</w:t>
      </w:r>
      <w:r w:rsidR="00C61114" w:rsidRPr="00C61114">
        <w:rPr>
          <w:rFonts w:ascii="Times New Roman" w:hAnsi="Times New Roman"/>
          <w:b/>
          <w:sz w:val="24"/>
          <w:szCs w:val="24"/>
          <w:lang w:val="uk-UA"/>
        </w:rPr>
        <w:t>1</w:t>
      </w:r>
      <w:r w:rsidRPr="00950A25">
        <w:rPr>
          <w:rFonts w:ascii="Times New Roman" w:hAnsi="Times New Roman"/>
          <w:sz w:val="24"/>
          <w:szCs w:val="24"/>
          <w:lang w:val="uk-UA"/>
        </w:rPr>
        <w:t xml:space="preserve">% від загальної кількості справ та матеріалів, що перебували в провадженні суду. </w:t>
      </w:r>
    </w:p>
    <w:p w:rsidR="00877749" w:rsidRPr="00950A25" w:rsidRDefault="00877749" w:rsidP="00877749">
      <w:pPr>
        <w:spacing w:after="0" w:line="240" w:lineRule="auto"/>
        <w:ind w:firstLine="720"/>
        <w:jc w:val="both"/>
        <w:rPr>
          <w:rFonts w:ascii="Times New Roman" w:hAnsi="Times New Roman"/>
          <w:sz w:val="24"/>
          <w:szCs w:val="24"/>
          <w:lang w:val="uk-UA"/>
        </w:rPr>
      </w:pPr>
      <w:r w:rsidRPr="00AA6BCC">
        <w:rPr>
          <w:rFonts w:ascii="Times New Roman" w:hAnsi="Times New Roman"/>
          <w:sz w:val="24"/>
          <w:szCs w:val="24"/>
          <w:lang w:val="uk-UA"/>
        </w:rPr>
        <w:t xml:space="preserve">Залишок не розглянутих справ і матеріалів  на кінець звітного періоду становить </w:t>
      </w:r>
      <w:r w:rsidR="00976445" w:rsidRPr="00AA6BCC">
        <w:rPr>
          <w:rFonts w:ascii="Times New Roman" w:hAnsi="Times New Roman"/>
          <w:sz w:val="24"/>
          <w:szCs w:val="24"/>
          <w:lang w:val="uk-UA"/>
        </w:rPr>
        <w:t>1269</w:t>
      </w:r>
      <w:r w:rsidRPr="00AA6BCC">
        <w:rPr>
          <w:rFonts w:ascii="Times New Roman" w:hAnsi="Times New Roman"/>
          <w:sz w:val="24"/>
          <w:szCs w:val="24"/>
          <w:lang w:val="uk-UA"/>
        </w:rPr>
        <w:t xml:space="preserve">, </w:t>
      </w:r>
      <w:r w:rsidR="00AA6BCC" w:rsidRPr="00AA6BCC">
        <w:rPr>
          <w:rFonts w:ascii="Times New Roman" w:hAnsi="Times New Roman"/>
          <w:sz w:val="24"/>
          <w:szCs w:val="24"/>
          <w:lang w:val="uk-UA"/>
        </w:rPr>
        <w:t>що</w:t>
      </w:r>
      <w:r w:rsidRPr="00AA6BCC">
        <w:rPr>
          <w:rFonts w:ascii="Times New Roman" w:hAnsi="Times New Roman"/>
          <w:sz w:val="24"/>
          <w:szCs w:val="24"/>
          <w:lang w:val="uk-UA"/>
        </w:rPr>
        <w:t xml:space="preserve"> становить </w:t>
      </w:r>
      <w:r w:rsidR="00AA6BCC" w:rsidRPr="00AA6BCC">
        <w:rPr>
          <w:rFonts w:ascii="Times New Roman" w:hAnsi="Times New Roman"/>
          <w:sz w:val="24"/>
          <w:szCs w:val="24"/>
          <w:lang w:val="uk-UA"/>
        </w:rPr>
        <w:t>18,9</w:t>
      </w:r>
      <w:r w:rsidRPr="00AA6BCC">
        <w:rPr>
          <w:rFonts w:ascii="Times New Roman" w:hAnsi="Times New Roman"/>
          <w:sz w:val="24"/>
          <w:szCs w:val="24"/>
          <w:lang w:val="uk-UA"/>
        </w:rPr>
        <w:t>% від загальної кількості справ та матеріалів, що перебували на розгляді у Запорізько</w:t>
      </w:r>
      <w:r w:rsidR="00AA6BCC" w:rsidRPr="00AA6BCC">
        <w:rPr>
          <w:rFonts w:ascii="Times New Roman" w:hAnsi="Times New Roman"/>
          <w:sz w:val="24"/>
          <w:szCs w:val="24"/>
          <w:lang w:val="uk-UA"/>
        </w:rPr>
        <w:t>му</w:t>
      </w:r>
      <w:r w:rsidRPr="00AA6BCC">
        <w:rPr>
          <w:rFonts w:ascii="Times New Roman" w:hAnsi="Times New Roman"/>
          <w:sz w:val="24"/>
          <w:szCs w:val="24"/>
          <w:lang w:val="uk-UA"/>
        </w:rPr>
        <w:t xml:space="preserve"> окружно</w:t>
      </w:r>
      <w:r w:rsidR="00AA6BCC" w:rsidRPr="00AA6BCC">
        <w:rPr>
          <w:rFonts w:ascii="Times New Roman" w:hAnsi="Times New Roman"/>
          <w:sz w:val="24"/>
          <w:szCs w:val="24"/>
          <w:lang w:val="uk-UA"/>
        </w:rPr>
        <w:t>му</w:t>
      </w:r>
      <w:r w:rsidRPr="00AA6BCC">
        <w:rPr>
          <w:rFonts w:ascii="Times New Roman" w:hAnsi="Times New Roman"/>
          <w:sz w:val="24"/>
          <w:szCs w:val="24"/>
          <w:lang w:val="uk-UA"/>
        </w:rPr>
        <w:t xml:space="preserve"> адміністративно</w:t>
      </w:r>
      <w:r w:rsidR="00AA6BCC" w:rsidRPr="00AA6BCC">
        <w:rPr>
          <w:rFonts w:ascii="Times New Roman" w:hAnsi="Times New Roman"/>
          <w:sz w:val="24"/>
          <w:szCs w:val="24"/>
          <w:lang w:val="uk-UA"/>
        </w:rPr>
        <w:t>му</w:t>
      </w:r>
      <w:r w:rsidRPr="00AA6BCC">
        <w:rPr>
          <w:rFonts w:ascii="Times New Roman" w:hAnsi="Times New Roman"/>
          <w:sz w:val="24"/>
          <w:szCs w:val="24"/>
          <w:lang w:val="uk-UA"/>
        </w:rPr>
        <w:t xml:space="preserve"> суді.</w:t>
      </w:r>
      <w:r w:rsidRPr="00950A25">
        <w:rPr>
          <w:rFonts w:ascii="Times New Roman" w:hAnsi="Times New Roman"/>
          <w:sz w:val="24"/>
          <w:szCs w:val="24"/>
          <w:lang w:val="uk-UA"/>
        </w:rPr>
        <w:t xml:space="preserve"> </w:t>
      </w:r>
    </w:p>
    <w:p w:rsidR="00877749" w:rsidRPr="00950A25" w:rsidRDefault="00877749" w:rsidP="00877749">
      <w:pPr>
        <w:spacing w:after="0" w:line="240" w:lineRule="auto"/>
        <w:ind w:firstLine="720"/>
        <w:jc w:val="both"/>
        <w:rPr>
          <w:rFonts w:ascii="Times New Roman" w:hAnsi="Times New Roman"/>
          <w:sz w:val="24"/>
          <w:szCs w:val="24"/>
          <w:lang w:val="uk-UA" w:eastAsia="uk-UA"/>
        </w:rPr>
      </w:pPr>
      <w:r w:rsidRPr="00950A25">
        <w:rPr>
          <w:rFonts w:ascii="Times New Roman" w:hAnsi="Times New Roman"/>
          <w:sz w:val="24"/>
          <w:szCs w:val="24"/>
          <w:lang w:val="uk-UA"/>
        </w:rPr>
        <w:t xml:space="preserve">Іншим показником, за результатами аналізу якого можна зробити висновок про ефективність роботи суду, є відсоток розгляду справ. Цей показник є одним з основних </w:t>
      </w:r>
      <w:r w:rsidRPr="00950A25">
        <w:rPr>
          <w:rFonts w:ascii="Times New Roman" w:hAnsi="Times New Roman"/>
          <w:sz w:val="24"/>
          <w:szCs w:val="24"/>
          <w:lang w:val="uk-UA"/>
        </w:rPr>
        <w:lastRenderedPageBreak/>
        <w:t>показників, що використовується в країнах-членах Ради Європи, а також США та в країнах-членах  Міжнародного консорціуму за досконалістю суду. П</w:t>
      </w:r>
      <w:r w:rsidRPr="00950A25">
        <w:rPr>
          <w:rFonts w:ascii="Times New Roman" w:hAnsi="Times New Roman"/>
          <w:sz w:val="24"/>
          <w:szCs w:val="24"/>
          <w:lang w:val="uk-UA" w:eastAsia="uk-UA"/>
        </w:rPr>
        <w:t>оказник «Відсоток розгляду» запропоновано використовувати як один із доцільних і об’єктивних показників, який дає можливість оцінити наскільки успішно суд працює над розглядом справ.</w:t>
      </w:r>
    </w:p>
    <w:p w:rsidR="00877749" w:rsidRPr="00950A25" w:rsidRDefault="00877749" w:rsidP="00877749">
      <w:pPr>
        <w:shd w:val="clear" w:color="auto" w:fill="FFFFFF"/>
        <w:spacing w:after="0" w:line="240" w:lineRule="auto"/>
        <w:ind w:firstLine="709"/>
        <w:jc w:val="both"/>
        <w:rPr>
          <w:rFonts w:ascii="Times New Roman" w:hAnsi="Times New Roman"/>
          <w:sz w:val="24"/>
          <w:szCs w:val="24"/>
          <w:lang w:val="uk-UA" w:eastAsia="uk-UA"/>
        </w:rPr>
      </w:pPr>
      <w:r w:rsidRPr="00950A25">
        <w:rPr>
          <w:rFonts w:ascii="Times New Roman" w:hAnsi="Times New Roman"/>
          <w:sz w:val="24"/>
          <w:szCs w:val="24"/>
          <w:lang w:val="uk-UA" w:eastAsia="uk-UA"/>
        </w:rPr>
        <w:t>За даними Європейської комісії з ефективності правосуддя, відсоток розгляду справ у 84% і нижче є тривожним сигналом, 85–95% – насторожуючим, 96–102% – нейтральний показник, 103% і більше – передова практика. Рекомендованим стандартом цього показника є рівень 95%–105%.</w:t>
      </w:r>
    </w:p>
    <w:p w:rsidR="00877749" w:rsidRDefault="00877749" w:rsidP="001553C8">
      <w:pPr>
        <w:shd w:val="clear" w:color="auto" w:fill="FFFFFF"/>
        <w:spacing w:after="0" w:line="240" w:lineRule="auto"/>
        <w:ind w:firstLine="709"/>
        <w:jc w:val="both"/>
        <w:rPr>
          <w:rFonts w:ascii="Times New Roman" w:hAnsi="Times New Roman"/>
          <w:sz w:val="24"/>
          <w:szCs w:val="24"/>
          <w:lang w:val="uk-UA" w:eastAsia="uk-UA"/>
        </w:rPr>
      </w:pPr>
      <w:r w:rsidRPr="00950A25">
        <w:rPr>
          <w:rFonts w:ascii="Times New Roman" w:hAnsi="Times New Roman"/>
          <w:sz w:val="24"/>
          <w:szCs w:val="24"/>
          <w:lang w:val="uk-UA"/>
        </w:rPr>
        <w:t xml:space="preserve">Згідно з даними звіту «Базові показники роботи суду» </w:t>
      </w:r>
      <w:r w:rsidRPr="00950A25">
        <w:rPr>
          <w:rFonts w:ascii="Times New Roman" w:hAnsi="Times New Roman"/>
          <w:sz w:val="24"/>
          <w:szCs w:val="24"/>
          <w:lang w:val="uk-UA" w:eastAsia="uk-UA"/>
        </w:rPr>
        <w:t>в 2017 ро</w:t>
      </w:r>
      <w:r w:rsidR="00EB6E09">
        <w:rPr>
          <w:rFonts w:ascii="Times New Roman" w:hAnsi="Times New Roman"/>
          <w:sz w:val="24"/>
          <w:szCs w:val="24"/>
          <w:lang w:val="uk-UA" w:eastAsia="uk-UA"/>
        </w:rPr>
        <w:t>ці</w:t>
      </w:r>
      <w:r w:rsidRPr="00950A25">
        <w:rPr>
          <w:rFonts w:ascii="Times New Roman" w:hAnsi="Times New Roman"/>
          <w:sz w:val="24"/>
          <w:szCs w:val="24"/>
          <w:lang w:val="uk-UA" w:eastAsia="uk-UA"/>
        </w:rPr>
        <w:t xml:space="preserve"> відсоток розгляду справ складає – </w:t>
      </w:r>
      <w:r w:rsidR="00EB6E09">
        <w:rPr>
          <w:rFonts w:ascii="Times New Roman" w:hAnsi="Times New Roman"/>
          <w:sz w:val="24"/>
          <w:szCs w:val="24"/>
          <w:lang w:val="uk-UA" w:eastAsia="uk-UA"/>
        </w:rPr>
        <w:t>97,2</w:t>
      </w:r>
      <w:r w:rsidRPr="00950A25">
        <w:rPr>
          <w:rFonts w:ascii="Times New Roman" w:hAnsi="Times New Roman"/>
          <w:sz w:val="24"/>
          <w:szCs w:val="24"/>
          <w:lang w:val="uk-UA" w:eastAsia="uk-UA"/>
        </w:rPr>
        <w:t xml:space="preserve">%, що згідно з даними Європейської комісії з ефективності правосуддя є </w:t>
      </w:r>
      <w:r w:rsidR="00CC7E3F">
        <w:rPr>
          <w:rFonts w:ascii="Times New Roman" w:hAnsi="Times New Roman"/>
          <w:sz w:val="24"/>
          <w:szCs w:val="24"/>
          <w:lang w:val="uk-UA" w:eastAsia="uk-UA"/>
        </w:rPr>
        <w:t>нейтральним (рекомендованим) показником</w:t>
      </w:r>
      <w:r w:rsidRPr="00950A25">
        <w:rPr>
          <w:rFonts w:ascii="Times New Roman" w:hAnsi="Times New Roman"/>
          <w:sz w:val="24"/>
          <w:szCs w:val="24"/>
          <w:lang w:val="uk-UA" w:eastAsia="uk-UA"/>
        </w:rPr>
        <w:t xml:space="preserve">, та свідчить про ефективність організації роботи суду. </w:t>
      </w:r>
    </w:p>
    <w:p w:rsidR="001553C8" w:rsidRDefault="001553C8" w:rsidP="001553C8">
      <w:pPr>
        <w:shd w:val="clear" w:color="auto" w:fill="FFFFFF"/>
        <w:spacing w:after="0" w:line="240" w:lineRule="auto"/>
        <w:ind w:firstLine="709"/>
        <w:jc w:val="both"/>
        <w:rPr>
          <w:rFonts w:ascii="Times New Roman" w:hAnsi="Times New Roman" w:cs="Times New Roman"/>
          <w:b/>
          <w:sz w:val="24"/>
          <w:szCs w:val="24"/>
          <w:lang w:val="uk-UA"/>
        </w:rPr>
      </w:pPr>
    </w:p>
    <w:p w:rsidR="008E6A40" w:rsidRDefault="008E6A40" w:rsidP="008E6A4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Розгляд позовних заяв</w:t>
      </w:r>
    </w:p>
    <w:p w:rsidR="00C15B02" w:rsidRDefault="00C15B02" w:rsidP="008E6A40">
      <w:pPr>
        <w:spacing w:after="0" w:line="240" w:lineRule="auto"/>
        <w:jc w:val="center"/>
        <w:rPr>
          <w:rFonts w:ascii="Times New Roman" w:hAnsi="Times New Roman" w:cs="Times New Roman"/>
          <w:b/>
          <w:sz w:val="24"/>
          <w:szCs w:val="24"/>
          <w:lang w:val="uk-UA"/>
        </w:rPr>
      </w:pPr>
    </w:p>
    <w:p w:rsidR="00527974" w:rsidRPr="00C15B02" w:rsidRDefault="00527974" w:rsidP="00527974">
      <w:pPr>
        <w:spacing w:after="0" w:line="240" w:lineRule="auto"/>
        <w:ind w:firstLine="720"/>
        <w:jc w:val="both"/>
        <w:rPr>
          <w:rFonts w:ascii="Times New Roman" w:hAnsi="Times New Roman"/>
          <w:sz w:val="24"/>
          <w:szCs w:val="24"/>
          <w:lang w:val="uk-UA"/>
        </w:rPr>
      </w:pPr>
      <w:r w:rsidRPr="00C15B02">
        <w:rPr>
          <w:rFonts w:ascii="Times New Roman" w:hAnsi="Times New Roman"/>
          <w:sz w:val="24"/>
          <w:szCs w:val="24"/>
          <w:lang w:val="uk-UA"/>
        </w:rPr>
        <w:t>За даними звіту судів першої інстанції про розгляд справ у порядку адміністративного судочинства за 201</w:t>
      </w:r>
      <w:r w:rsidR="007B15C3">
        <w:rPr>
          <w:rFonts w:ascii="Times New Roman" w:hAnsi="Times New Roman"/>
          <w:sz w:val="24"/>
          <w:szCs w:val="24"/>
          <w:lang w:val="uk-UA"/>
        </w:rPr>
        <w:t>7</w:t>
      </w:r>
      <w:r w:rsidRPr="00C15B02">
        <w:rPr>
          <w:rFonts w:ascii="Times New Roman" w:hAnsi="Times New Roman"/>
          <w:sz w:val="24"/>
          <w:szCs w:val="24"/>
          <w:lang w:val="uk-UA"/>
        </w:rPr>
        <w:t xml:space="preserve"> рік, форми № 2-А, у звітному періоді на розгляді Запорізького окружного адміністративного суду перебувал</w:t>
      </w:r>
      <w:r w:rsidR="00C15B02">
        <w:rPr>
          <w:rFonts w:ascii="Times New Roman" w:hAnsi="Times New Roman"/>
          <w:sz w:val="24"/>
          <w:szCs w:val="24"/>
          <w:lang w:val="uk-UA"/>
        </w:rPr>
        <w:t>о</w:t>
      </w:r>
      <w:r w:rsidRPr="00C15B02">
        <w:rPr>
          <w:rFonts w:ascii="Times New Roman" w:hAnsi="Times New Roman"/>
          <w:sz w:val="24"/>
          <w:szCs w:val="24"/>
          <w:lang w:val="uk-UA"/>
        </w:rPr>
        <w:t xml:space="preserve"> </w:t>
      </w:r>
      <w:r w:rsidR="001553C8">
        <w:rPr>
          <w:rFonts w:ascii="Times New Roman" w:hAnsi="Times New Roman"/>
          <w:sz w:val="24"/>
          <w:szCs w:val="24"/>
          <w:lang w:val="uk-UA"/>
        </w:rPr>
        <w:t>4377</w:t>
      </w:r>
      <w:r w:rsidRPr="00C15B02">
        <w:rPr>
          <w:rFonts w:ascii="Times New Roman" w:hAnsi="Times New Roman"/>
          <w:sz w:val="24"/>
          <w:szCs w:val="24"/>
          <w:lang w:val="uk-UA"/>
        </w:rPr>
        <w:t xml:space="preserve"> позовних заяв, з яких у звітному періоді надійшло </w:t>
      </w:r>
      <w:r w:rsidR="001553C8">
        <w:rPr>
          <w:rFonts w:ascii="Times New Roman" w:hAnsi="Times New Roman"/>
          <w:sz w:val="24"/>
          <w:szCs w:val="24"/>
          <w:lang w:val="uk-UA"/>
        </w:rPr>
        <w:t>4075</w:t>
      </w:r>
      <w:r w:rsidRPr="00C15B02">
        <w:rPr>
          <w:rFonts w:ascii="Times New Roman" w:hAnsi="Times New Roman"/>
          <w:sz w:val="24"/>
          <w:szCs w:val="24"/>
          <w:lang w:val="uk-UA"/>
        </w:rPr>
        <w:t xml:space="preserve"> заяв</w:t>
      </w:r>
      <w:r w:rsidR="00991385">
        <w:rPr>
          <w:rFonts w:ascii="Times New Roman" w:hAnsi="Times New Roman"/>
          <w:sz w:val="24"/>
          <w:szCs w:val="24"/>
          <w:lang w:val="uk-UA"/>
        </w:rPr>
        <w:t>.</w:t>
      </w:r>
    </w:p>
    <w:p w:rsidR="00E84E17" w:rsidRPr="00331A56" w:rsidRDefault="003D79FC" w:rsidP="00E509C3">
      <w:pPr>
        <w:spacing w:after="0" w:line="240" w:lineRule="auto"/>
        <w:ind w:firstLine="720"/>
        <w:jc w:val="both"/>
        <w:rPr>
          <w:rFonts w:ascii="Times New Roman" w:hAnsi="Times New Roman" w:cs="Times New Roman"/>
          <w:sz w:val="24"/>
          <w:szCs w:val="24"/>
          <w:lang w:val="uk-UA"/>
        </w:rPr>
      </w:pPr>
      <w:r>
        <w:rPr>
          <w:rFonts w:ascii="Times New Roman" w:hAnsi="Times New Roman"/>
          <w:sz w:val="24"/>
          <w:szCs w:val="24"/>
          <w:lang w:val="uk-UA"/>
        </w:rPr>
        <w:t>.</w:t>
      </w:r>
      <w:r w:rsidR="00513A40" w:rsidRPr="00730C97">
        <w:rPr>
          <w:rFonts w:ascii="Times New Roman" w:hAnsi="Times New Roman"/>
          <w:sz w:val="24"/>
          <w:szCs w:val="24"/>
          <w:lang w:val="uk-UA"/>
        </w:rPr>
        <w:t xml:space="preserve"> </w:t>
      </w:r>
      <w:r w:rsidR="00EB2EB2" w:rsidRPr="00331A56">
        <w:rPr>
          <w:rFonts w:ascii="Times New Roman" w:hAnsi="Times New Roman" w:cs="Times New Roman"/>
          <w:noProof/>
          <w:sz w:val="24"/>
          <w:szCs w:val="24"/>
        </w:rPr>
        <w:drawing>
          <wp:inline distT="0" distB="0" distL="0" distR="0">
            <wp:extent cx="5861487" cy="1805504"/>
            <wp:effectExtent l="0" t="0" r="0" b="0"/>
            <wp:docPr id="137" name="Объект 1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7DA5" w:rsidRDefault="007E7DA5" w:rsidP="008F20DB">
      <w:pPr>
        <w:spacing w:after="0" w:line="240" w:lineRule="auto"/>
        <w:ind w:firstLine="720"/>
        <w:jc w:val="both"/>
        <w:rPr>
          <w:rFonts w:ascii="Times New Roman" w:hAnsi="Times New Roman"/>
          <w:sz w:val="24"/>
          <w:szCs w:val="24"/>
          <w:lang w:val="uk-UA"/>
        </w:rPr>
      </w:pPr>
    </w:p>
    <w:p w:rsidR="008F20DB" w:rsidRDefault="00D50262" w:rsidP="008F20DB">
      <w:pPr>
        <w:spacing w:after="0" w:line="240" w:lineRule="auto"/>
        <w:ind w:firstLine="720"/>
        <w:jc w:val="both"/>
        <w:rPr>
          <w:rFonts w:ascii="Times New Roman" w:hAnsi="Times New Roman"/>
          <w:sz w:val="24"/>
          <w:szCs w:val="24"/>
          <w:lang w:val="uk-UA"/>
        </w:rPr>
      </w:pPr>
      <w:r w:rsidRPr="00B5348E">
        <w:rPr>
          <w:rFonts w:ascii="Times New Roman" w:hAnsi="Times New Roman"/>
          <w:sz w:val="24"/>
          <w:szCs w:val="24"/>
          <w:lang w:val="uk-UA"/>
        </w:rPr>
        <w:t xml:space="preserve">Кількість позовних заяв, що </w:t>
      </w:r>
      <w:r w:rsidR="00831B4B" w:rsidRPr="00B5348E">
        <w:rPr>
          <w:rFonts w:ascii="Times New Roman" w:hAnsi="Times New Roman"/>
          <w:sz w:val="24"/>
          <w:szCs w:val="24"/>
          <w:lang w:val="uk-UA"/>
        </w:rPr>
        <w:t>надійшли на розгляд</w:t>
      </w:r>
      <w:r w:rsidRPr="00B5348E">
        <w:rPr>
          <w:rFonts w:ascii="Times New Roman" w:hAnsi="Times New Roman"/>
          <w:sz w:val="24"/>
          <w:szCs w:val="24"/>
          <w:lang w:val="uk-UA"/>
        </w:rPr>
        <w:t xml:space="preserve"> суду у звітному періоді, є </w:t>
      </w:r>
      <w:r w:rsidR="005E1D86">
        <w:rPr>
          <w:rFonts w:ascii="Times New Roman" w:hAnsi="Times New Roman"/>
          <w:sz w:val="24"/>
          <w:szCs w:val="24"/>
          <w:lang w:val="uk-UA"/>
        </w:rPr>
        <w:t xml:space="preserve">на </w:t>
      </w:r>
      <w:r w:rsidR="0089620A">
        <w:rPr>
          <w:rFonts w:ascii="Times New Roman" w:hAnsi="Times New Roman"/>
          <w:sz w:val="24"/>
          <w:szCs w:val="24"/>
          <w:lang w:val="uk-UA"/>
        </w:rPr>
        <w:t>0,9</w:t>
      </w:r>
      <w:r w:rsidRPr="00B5348E">
        <w:rPr>
          <w:rFonts w:ascii="Times New Roman" w:hAnsi="Times New Roman"/>
          <w:sz w:val="24"/>
          <w:szCs w:val="24"/>
          <w:lang w:val="uk-UA"/>
        </w:rPr>
        <w:t xml:space="preserve">% </w:t>
      </w:r>
      <w:r w:rsidR="000C7096" w:rsidRPr="00B5348E">
        <w:rPr>
          <w:rFonts w:ascii="Times New Roman" w:hAnsi="Times New Roman"/>
          <w:sz w:val="24"/>
          <w:szCs w:val="24"/>
          <w:lang w:val="uk-UA"/>
        </w:rPr>
        <w:t>меншою</w:t>
      </w:r>
      <w:r w:rsidRPr="00B5348E">
        <w:rPr>
          <w:rFonts w:ascii="Times New Roman" w:hAnsi="Times New Roman"/>
          <w:sz w:val="24"/>
          <w:szCs w:val="24"/>
          <w:lang w:val="uk-UA"/>
        </w:rPr>
        <w:t xml:space="preserve">, ніж у </w:t>
      </w:r>
      <w:r w:rsidR="00CB0111" w:rsidRPr="00B5348E">
        <w:rPr>
          <w:rFonts w:ascii="Times New Roman" w:hAnsi="Times New Roman"/>
          <w:sz w:val="24"/>
          <w:szCs w:val="24"/>
          <w:lang w:val="uk-UA"/>
        </w:rPr>
        <w:t>201</w:t>
      </w:r>
      <w:r w:rsidR="0089620A">
        <w:rPr>
          <w:rFonts w:ascii="Times New Roman" w:hAnsi="Times New Roman"/>
          <w:sz w:val="24"/>
          <w:szCs w:val="24"/>
          <w:lang w:val="uk-UA"/>
        </w:rPr>
        <w:t>6</w:t>
      </w:r>
      <w:r w:rsidR="00CB0111" w:rsidRPr="00B5348E">
        <w:rPr>
          <w:rFonts w:ascii="Times New Roman" w:hAnsi="Times New Roman"/>
          <w:sz w:val="24"/>
          <w:szCs w:val="24"/>
          <w:lang w:val="uk-UA"/>
        </w:rPr>
        <w:t xml:space="preserve"> році</w:t>
      </w:r>
      <w:r w:rsidR="00DD455B">
        <w:rPr>
          <w:rFonts w:ascii="Times New Roman" w:hAnsi="Times New Roman"/>
          <w:sz w:val="24"/>
          <w:szCs w:val="24"/>
          <w:lang w:val="uk-UA"/>
        </w:rPr>
        <w:t>.</w:t>
      </w:r>
    </w:p>
    <w:p w:rsidR="00B859D0" w:rsidRDefault="00B859D0" w:rsidP="00B859D0">
      <w:pPr>
        <w:spacing w:after="0" w:line="240" w:lineRule="auto"/>
        <w:ind w:firstLine="720"/>
        <w:jc w:val="center"/>
        <w:rPr>
          <w:rFonts w:ascii="Times New Roman" w:hAnsi="Times New Roman" w:cs="Times New Roman"/>
          <w:color w:val="000000"/>
          <w:sz w:val="24"/>
          <w:szCs w:val="24"/>
          <w:lang w:val="uk-UA"/>
        </w:rPr>
      </w:pPr>
    </w:p>
    <w:p w:rsidR="00B859D0" w:rsidRPr="00950A25" w:rsidRDefault="00B859D0" w:rsidP="00B859D0">
      <w:pPr>
        <w:spacing w:after="0" w:line="240" w:lineRule="auto"/>
        <w:ind w:firstLine="720"/>
        <w:jc w:val="center"/>
        <w:rPr>
          <w:rFonts w:ascii="Times New Roman" w:hAnsi="Times New Roman"/>
          <w:b/>
          <w:sz w:val="24"/>
          <w:szCs w:val="24"/>
          <w:lang w:val="uk-UA"/>
        </w:rPr>
      </w:pPr>
      <w:r w:rsidRPr="00950A25">
        <w:rPr>
          <w:rFonts w:ascii="Times New Roman" w:hAnsi="Times New Roman" w:cs="Times New Roman"/>
          <w:color w:val="000000"/>
          <w:sz w:val="24"/>
          <w:szCs w:val="24"/>
          <w:lang w:val="uk-UA"/>
        </w:rPr>
        <w:t xml:space="preserve">У таблиці № 1 наведені показники розгляду </w:t>
      </w:r>
      <w:r>
        <w:rPr>
          <w:rFonts w:ascii="Times New Roman" w:hAnsi="Times New Roman" w:cs="Times New Roman"/>
          <w:color w:val="000000"/>
          <w:sz w:val="24"/>
          <w:szCs w:val="24"/>
          <w:lang w:val="uk-UA"/>
        </w:rPr>
        <w:t xml:space="preserve">позовних заяв </w:t>
      </w:r>
      <w:r w:rsidRPr="00950A25">
        <w:rPr>
          <w:rFonts w:ascii="Times New Roman" w:hAnsi="Times New Roman" w:cs="Times New Roman"/>
          <w:color w:val="000000"/>
          <w:sz w:val="24"/>
          <w:szCs w:val="24"/>
          <w:lang w:val="uk-UA"/>
        </w:rPr>
        <w:t>суддівс</w:t>
      </w:r>
      <w:r>
        <w:rPr>
          <w:rFonts w:ascii="Times New Roman" w:hAnsi="Times New Roman" w:cs="Times New Roman"/>
          <w:color w:val="000000"/>
          <w:sz w:val="24"/>
          <w:szCs w:val="24"/>
          <w:lang w:val="uk-UA"/>
        </w:rPr>
        <w:t>ьким корпусом у</w:t>
      </w:r>
      <w:r w:rsidRPr="00950A2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950A25">
        <w:rPr>
          <w:rFonts w:ascii="Times New Roman" w:hAnsi="Times New Roman" w:cs="Times New Roman"/>
          <w:color w:val="000000"/>
          <w:sz w:val="24"/>
          <w:szCs w:val="24"/>
          <w:lang w:val="uk-UA"/>
        </w:rPr>
        <w:t>2017 ро</w:t>
      </w:r>
      <w:r>
        <w:rPr>
          <w:rFonts w:ascii="Times New Roman" w:hAnsi="Times New Roman" w:cs="Times New Roman"/>
          <w:color w:val="000000"/>
          <w:sz w:val="24"/>
          <w:szCs w:val="24"/>
          <w:lang w:val="uk-UA"/>
        </w:rPr>
        <w:t>ці.</w:t>
      </w:r>
      <w:r w:rsidRPr="00950A25">
        <w:rPr>
          <w:rFonts w:ascii="Times New Roman" w:hAnsi="Times New Roman" w:cs="Times New Roman"/>
          <w:color w:val="000000"/>
          <w:sz w:val="24"/>
          <w:szCs w:val="24"/>
          <w:lang w:val="uk-UA"/>
        </w:rPr>
        <w:t xml:space="preserve"> </w:t>
      </w:r>
    </w:p>
    <w:p w:rsidR="007374CA" w:rsidRPr="00950A25" w:rsidRDefault="007374CA" w:rsidP="007374CA">
      <w:pPr>
        <w:shd w:val="clear" w:color="auto" w:fill="FFFFFF"/>
        <w:spacing w:after="0" w:line="202" w:lineRule="atLeast"/>
        <w:rPr>
          <w:rFonts w:ascii="Times New Roman" w:hAnsi="Times New Roman" w:cs="Times New Roman"/>
          <w:color w:val="000000"/>
          <w:sz w:val="24"/>
          <w:szCs w:val="24"/>
          <w:lang w:val="uk-UA"/>
        </w:rPr>
      </w:pPr>
      <w:r w:rsidRPr="00950A25">
        <w:rPr>
          <w:rFonts w:ascii="Times New Roman" w:hAnsi="Times New Roman" w:cs="Times New Roman"/>
          <w:b/>
          <w:bCs/>
          <w:color w:val="000000"/>
          <w:sz w:val="24"/>
          <w:szCs w:val="24"/>
          <w:lang w:val="uk-UA"/>
        </w:rPr>
        <w:t>Таблиця № 1</w:t>
      </w:r>
    </w:p>
    <w:tbl>
      <w:tblPr>
        <w:tblW w:w="0" w:type="auto"/>
        <w:jc w:val="center"/>
        <w:tblCellMar>
          <w:left w:w="0" w:type="dxa"/>
          <w:right w:w="0" w:type="dxa"/>
        </w:tblCellMar>
        <w:tblLook w:val="04A0" w:firstRow="1" w:lastRow="0" w:firstColumn="1" w:lastColumn="0" w:noHBand="0" w:noVBand="1"/>
      </w:tblPr>
      <w:tblGrid>
        <w:gridCol w:w="809"/>
        <w:gridCol w:w="7384"/>
        <w:gridCol w:w="1377"/>
      </w:tblGrid>
      <w:tr w:rsidR="007374CA" w:rsidRPr="00950A25" w:rsidTr="007374CA">
        <w:trPr>
          <w:cantSplit/>
          <w:trHeight w:val="579"/>
          <w:jc w:val="center"/>
        </w:trPr>
        <w:tc>
          <w:tcPr>
            <w:tcW w:w="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jc w:val="center"/>
              <w:rPr>
                <w:rFonts w:ascii="Tahoma" w:hAnsi="Tahoma" w:cs="Tahoma"/>
                <w:color w:val="000000"/>
                <w:sz w:val="24"/>
                <w:szCs w:val="24"/>
                <w:lang w:val="uk-UA"/>
              </w:rPr>
            </w:pPr>
            <w:r w:rsidRPr="00950A25">
              <w:rPr>
                <w:rFonts w:ascii="Times New Roman" w:hAnsi="Times New Roman" w:cs="Times New Roman"/>
                <w:b/>
                <w:bCs/>
                <w:color w:val="000000"/>
                <w:sz w:val="24"/>
                <w:szCs w:val="24"/>
                <w:lang w:val="uk-UA"/>
              </w:rPr>
              <w:t>№</w:t>
            </w:r>
          </w:p>
        </w:tc>
        <w:tc>
          <w:tcPr>
            <w:tcW w:w="73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jc w:val="center"/>
              <w:rPr>
                <w:rFonts w:ascii="Tahoma" w:hAnsi="Tahoma" w:cs="Tahoma"/>
                <w:color w:val="000000"/>
                <w:sz w:val="24"/>
                <w:szCs w:val="24"/>
                <w:lang w:val="uk-UA"/>
              </w:rPr>
            </w:pPr>
            <w:r w:rsidRPr="00950A25">
              <w:rPr>
                <w:rFonts w:ascii="Times New Roman" w:hAnsi="Times New Roman" w:cs="Times New Roman"/>
                <w:b/>
                <w:bCs/>
                <w:color w:val="000000"/>
                <w:sz w:val="24"/>
                <w:szCs w:val="24"/>
                <w:lang w:val="uk-UA"/>
              </w:rPr>
              <w:t>Категорія</w:t>
            </w:r>
          </w:p>
        </w:tc>
        <w:tc>
          <w:tcPr>
            <w:tcW w:w="13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jc w:val="center"/>
              <w:rPr>
                <w:rFonts w:ascii="Tahoma" w:hAnsi="Tahoma" w:cs="Tahoma"/>
                <w:color w:val="000000"/>
                <w:sz w:val="24"/>
                <w:szCs w:val="24"/>
                <w:lang w:val="uk-UA"/>
              </w:rPr>
            </w:pPr>
            <w:r w:rsidRPr="00950A25">
              <w:rPr>
                <w:rFonts w:ascii="Times New Roman" w:hAnsi="Times New Roman" w:cs="Times New Roman"/>
                <w:b/>
                <w:bCs/>
                <w:color w:val="000000"/>
                <w:sz w:val="24"/>
                <w:szCs w:val="24"/>
                <w:lang w:val="uk-UA"/>
              </w:rPr>
              <w:t>Показник</w:t>
            </w:r>
          </w:p>
        </w:tc>
      </w:tr>
      <w:tr w:rsidR="007374CA" w:rsidRPr="00950A25" w:rsidTr="007374CA">
        <w:trPr>
          <w:cantSplit/>
          <w:trHeight w:val="825"/>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rPr>
                <w:rFonts w:ascii="Tahoma" w:hAnsi="Tahoma" w:cs="Tahoma"/>
                <w:color w:val="000000"/>
                <w:sz w:val="24"/>
                <w:szCs w:val="24"/>
                <w:lang w:val="uk-UA"/>
              </w:rPr>
            </w:pPr>
            <w:r w:rsidRPr="00950A25">
              <w:rPr>
                <w:rFonts w:ascii="Times New Roman" w:hAnsi="Times New Roman" w:cs="Times New Roman"/>
                <w:color w:val="000000"/>
                <w:sz w:val="24"/>
                <w:szCs w:val="24"/>
                <w:lang w:val="uk-UA"/>
              </w:rPr>
              <w:t>1</w:t>
            </w:r>
          </w:p>
        </w:tc>
        <w:tc>
          <w:tcPr>
            <w:tcW w:w="7384" w:type="dxa"/>
            <w:tcBorders>
              <w:top w:val="nil"/>
              <w:left w:val="nil"/>
              <w:bottom w:val="single" w:sz="8" w:space="0" w:color="000000"/>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rPr>
                <w:rFonts w:ascii="Tahoma" w:hAnsi="Tahoma" w:cs="Tahoma"/>
                <w:color w:val="000000"/>
                <w:sz w:val="24"/>
                <w:szCs w:val="24"/>
                <w:lang w:val="uk-UA"/>
              </w:rPr>
            </w:pPr>
            <w:r w:rsidRPr="00950A25">
              <w:rPr>
                <w:rFonts w:ascii="Times New Roman" w:hAnsi="Times New Roman" w:cs="Times New Roman"/>
                <w:b/>
                <w:bCs/>
                <w:color w:val="000000"/>
                <w:sz w:val="24"/>
                <w:szCs w:val="24"/>
                <w:lang w:val="uk-UA"/>
              </w:rPr>
              <w:t>Перебувало на розгляді в адміністративному суді позовних заяв у звітному періоді</w:t>
            </w:r>
          </w:p>
        </w:tc>
        <w:tc>
          <w:tcPr>
            <w:tcW w:w="1377" w:type="dxa"/>
            <w:tcBorders>
              <w:top w:val="nil"/>
              <w:left w:val="nil"/>
              <w:bottom w:val="single" w:sz="8" w:space="0" w:color="000000"/>
              <w:right w:val="single" w:sz="8" w:space="0" w:color="000000"/>
            </w:tcBorders>
            <w:tcMar>
              <w:top w:w="0" w:type="dxa"/>
              <w:left w:w="108" w:type="dxa"/>
              <w:bottom w:w="0" w:type="dxa"/>
              <w:right w:w="108" w:type="dxa"/>
            </w:tcMar>
            <w:hideMark/>
          </w:tcPr>
          <w:p w:rsidR="007374CA" w:rsidRPr="00950A25" w:rsidRDefault="00A15459" w:rsidP="003B49F2">
            <w:pPr>
              <w:spacing w:before="100" w:beforeAutospacing="1" w:after="0"/>
              <w:jc w:val="center"/>
              <w:rPr>
                <w:rFonts w:ascii="Tahoma" w:hAnsi="Tahoma" w:cs="Tahoma"/>
                <w:color w:val="000000"/>
                <w:sz w:val="24"/>
                <w:szCs w:val="24"/>
                <w:lang w:val="uk-UA"/>
              </w:rPr>
            </w:pPr>
            <w:r>
              <w:rPr>
                <w:rFonts w:ascii="Times New Roman" w:hAnsi="Times New Roman" w:cs="Times New Roman"/>
                <w:b/>
                <w:bCs/>
                <w:color w:val="000000"/>
                <w:sz w:val="24"/>
                <w:szCs w:val="24"/>
                <w:lang w:val="uk-UA"/>
              </w:rPr>
              <w:t>4377</w:t>
            </w:r>
          </w:p>
        </w:tc>
      </w:tr>
      <w:tr w:rsidR="007374CA" w:rsidRPr="00950A25" w:rsidTr="007374CA">
        <w:trPr>
          <w:cantSplit/>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74CA" w:rsidRPr="00950A25" w:rsidRDefault="007374CA" w:rsidP="00AB63D9">
            <w:pPr>
              <w:spacing w:before="100" w:beforeAutospacing="1" w:after="0"/>
              <w:rPr>
                <w:rFonts w:ascii="Tahoma" w:hAnsi="Tahoma" w:cs="Tahoma"/>
                <w:color w:val="000000"/>
                <w:sz w:val="24"/>
                <w:szCs w:val="24"/>
                <w:lang w:val="uk-UA"/>
              </w:rPr>
            </w:pPr>
            <w:r w:rsidRPr="00950A25">
              <w:rPr>
                <w:rFonts w:ascii="Times New Roman" w:hAnsi="Times New Roman" w:cs="Times New Roman"/>
                <w:color w:val="000000"/>
                <w:sz w:val="24"/>
                <w:szCs w:val="24"/>
                <w:lang w:val="uk-UA"/>
              </w:rPr>
              <w:t>1.</w:t>
            </w:r>
            <w:r w:rsidR="00AB63D9">
              <w:rPr>
                <w:rFonts w:ascii="Times New Roman" w:hAnsi="Times New Roman" w:cs="Times New Roman"/>
                <w:color w:val="000000"/>
                <w:sz w:val="24"/>
                <w:szCs w:val="24"/>
                <w:lang w:val="uk-UA"/>
              </w:rPr>
              <w:t>2</w:t>
            </w:r>
          </w:p>
        </w:tc>
        <w:tc>
          <w:tcPr>
            <w:tcW w:w="7384" w:type="dxa"/>
            <w:tcBorders>
              <w:top w:val="nil"/>
              <w:left w:val="nil"/>
              <w:bottom w:val="single" w:sz="8" w:space="0" w:color="000000"/>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rPr>
                <w:rFonts w:ascii="Tahoma" w:hAnsi="Tahoma" w:cs="Tahoma"/>
                <w:color w:val="000000"/>
                <w:sz w:val="24"/>
                <w:szCs w:val="24"/>
                <w:lang w:val="uk-UA"/>
              </w:rPr>
            </w:pPr>
            <w:r w:rsidRPr="00950A25">
              <w:rPr>
                <w:rFonts w:ascii="Times New Roman" w:hAnsi="Times New Roman" w:cs="Times New Roman"/>
                <w:color w:val="000000"/>
                <w:sz w:val="24"/>
                <w:szCs w:val="24"/>
                <w:lang w:val="uk-UA"/>
              </w:rPr>
              <w:t>розглянуті позовні заяви (всього)</w:t>
            </w:r>
          </w:p>
        </w:tc>
        <w:tc>
          <w:tcPr>
            <w:tcW w:w="1377" w:type="dxa"/>
            <w:tcBorders>
              <w:top w:val="nil"/>
              <w:left w:val="nil"/>
              <w:bottom w:val="single" w:sz="8" w:space="0" w:color="000000"/>
              <w:right w:val="single" w:sz="8" w:space="0" w:color="000000"/>
            </w:tcBorders>
            <w:tcMar>
              <w:top w:w="0" w:type="dxa"/>
              <w:left w:w="108" w:type="dxa"/>
              <w:bottom w:w="0" w:type="dxa"/>
              <w:right w:w="108" w:type="dxa"/>
            </w:tcMar>
            <w:hideMark/>
          </w:tcPr>
          <w:p w:rsidR="007374CA" w:rsidRPr="00950A25" w:rsidRDefault="00A15459" w:rsidP="003B49F2">
            <w:pPr>
              <w:spacing w:before="100" w:beforeAutospacing="1" w:after="0"/>
              <w:jc w:val="center"/>
              <w:rPr>
                <w:rFonts w:ascii="Tahoma" w:hAnsi="Tahoma" w:cs="Tahoma"/>
                <w:b/>
                <w:color w:val="000000"/>
                <w:sz w:val="24"/>
                <w:szCs w:val="24"/>
                <w:lang w:val="uk-UA"/>
              </w:rPr>
            </w:pPr>
            <w:r>
              <w:rPr>
                <w:rFonts w:ascii="Times New Roman" w:hAnsi="Times New Roman" w:cs="Times New Roman"/>
                <w:b/>
                <w:color w:val="000000"/>
                <w:sz w:val="24"/>
                <w:szCs w:val="24"/>
                <w:lang w:val="uk-UA"/>
              </w:rPr>
              <w:t>4056</w:t>
            </w:r>
          </w:p>
        </w:tc>
      </w:tr>
      <w:tr w:rsidR="007374CA" w:rsidRPr="00950A25" w:rsidTr="007374CA">
        <w:trPr>
          <w:cantSplit/>
          <w:trHeight w:val="493"/>
          <w:jc w:val="center"/>
        </w:trPr>
        <w:tc>
          <w:tcPr>
            <w:tcW w:w="957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jc w:val="center"/>
              <w:rPr>
                <w:rFonts w:ascii="Tahoma" w:hAnsi="Tahoma" w:cs="Tahoma"/>
                <w:color w:val="000000"/>
                <w:sz w:val="24"/>
                <w:szCs w:val="24"/>
                <w:lang w:val="uk-UA"/>
              </w:rPr>
            </w:pPr>
            <w:r w:rsidRPr="00950A25">
              <w:rPr>
                <w:rFonts w:ascii="Times New Roman" w:hAnsi="Times New Roman" w:cs="Times New Roman"/>
                <w:b/>
                <w:bCs/>
                <w:color w:val="000000"/>
                <w:sz w:val="24"/>
                <w:szCs w:val="24"/>
                <w:lang w:val="uk-UA"/>
              </w:rPr>
              <w:t>в тому числі:</w:t>
            </w:r>
          </w:p>
        </w:tc>
      </w:tr>
      <w:tr w:rsidR="007374CA" w:rsidRPr="00950A25" w:rsidTr="007374CA">
        <w:trPr>
          <w:cantSplit/>
          <w:trHeight w:val="401"/>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74CA" w:rsidRPr="00950A25" w:rsidRDefault="007374CA" w:rsidP="00AB63D9">
            <w:pPr>
              <w:spacing w:before="100" w:beforeAutospacing="1" w:after="0"/>
              <w:rPr>
                <w:rFonts w:ascii="Tahoma" w:hAnsi="Tahoma" w:cs="Tahoma"/>
                <w:color w:val="000000"/>
                <w:sz w:val="24"/>
                <w:szCs w:val="24"/>
                <w:lang w:val="uk-UA"/>
              </w:rPr>
            </w:pPr>
            <w:r w:rsidRPr="00950A25">
              <w:rPr>
                <w:rFonts w:ascii="Times New Roman" w:hAnsi="Times New Roman" w:cs="Times New Roman"/>
                <w:color w:val="000000"/>
                <w:sz w:val="24"/>
                <w:szCs w:val="24"/>
                <w:lang w:val="uk-UA"/>
              </w:rPr>
              <w:t>1.</w:t>
            </w:r>
            <w:r w:rsidR="00AB63D9">
              <w:rPr>
                <w:rFonts w:ascii="Times New Roman" w:hAnsi="Times New Roman" w:cs="Times New Roman"/>
                <w:color w:val="000000"/>
                <w:sz w:val="24"/>
                <w:szCs w:val="24"/>
                <w:lang w:val="uk-UA"/>
              </w:rPr>
              <w:t>2</w:t>
            </w:r>
            <w:r w:rsidRPr="00950A25">
              <w:rPr>
                <w:rFonts w:ascii="Times New Roman" w:hAnsi="Times New Roman" w:cs="Times New Roman"/>
                <w:color w:val="000000"/>
                <w:sz w:val="24"/>
                <w:szCs w:val="24"/>
                <w:lang w:val="uk-UA"/>
              </w:rPr>
              <w:t>.1</w:t>
            </w:r>
          </w:p>
        </w:tc>
        <w:tc>
          <w:tcPr>
            <w:tcW w:w="7384" w:type="dxa"/>
            <w:tcBorders>
              <w:top w:val="nil"/>
              <w:left w:val="nil"/>
              <w:bottom w:val="single" w:sz="8" w:space="0" w:color="000000"/>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rPr>
                <w:rFonts w:ascii="Tahoma" w:hAnsi="Tahoma" w:cs="Tahoma"/>
                <w:color w:val="000000"/>
                <w:sz w:val="24"/>
                <w:szCs w:val="24"/>
                <w:lang w:val="uk-UA"/>
              </w:rPr>
            </w:pPr>
            <w:r w:rsidRPr="00950A25">
              <w:rPr>
                <w:rFonts w:ascii="Times New Roman" w:hAnsi="Times New Roman" w:cs="Times New Roman"/>
                <w:color w:val="000000"/>
                <w:sz w:val="24"/>
                <w:szCs w:val="24"/>
                <w:lang w:val="uk-UA"/>
              </w:rPr>
              <w:t>позовні заяви, повернуті позивачам</w:t>
            </w:r>
          </w:p>
        </w:tc>
        <w:tc>
          <w:tcPr>
            <w:tcW w:w="1377" w:type="dxa"/>
            <w:tcBorders>
              <w:top w:val="nil"/>
              <w:left w:val="nil"/>
              <w:bottom w:val="single" w:sz="8" w:space="0" w:color="000000"/>
              <w:right w:val="single" w:sz="8" w:space="0" w:color="000000"/>
            </w:tcBorders>
            <w:tcMar>
              <w:top w:w="0" w:type="dxa"/>
              <w:left w:w="108" w:type="dxa"/>
              <w:bottom w:w="0" w:type="dxa"/>
              <w:right w:w="108" w:type="dxa"/>
            </w:tcMar>
            <w:hideMark/>
          </w:tcPr>
          <w:p w:rsidR="007374CA" w:rsidRPr="00A15459" w:rsidRDefault="00A15459" w:rsidP="003B49F2">
            <w:pPr>
              <w:spacing w:before="100" w:beforeAutospacing="1" w:after="0"/>
              <w:jc w:val="center"/>
              <w:rPr>
                <w:rFonts w:ascii="Times New Roman" w:hAnsi="Times New Roman" w:cs="Times New Roman"/>
                <w:color w:val="000000"/>
                <w:sz w:val="24"/>
                <w:szCs w:val="24"/>
                <w:lang w:val="uk-UA"/>
              </w:rPr>
            </w:pPr>
            <w:r w:rsidRPr="00A15459">
              <w:rPr>
                <w:rFonts w:ascii="Times New Roman" w:hAnsi="Times New Roman" w:cs="Times New Roman"/>
                <w:color w:val="000000"/>
                <w:sz w:val="24"/>
                <w:szCs w:val="24"/>
                <w:lang w:val="uk-UA"/>
              </w:rPr>
              <w:t>453</w:t>
            </w:r>
          </w:p>
        </w:tc>
      </w:tr>
      <w:tr w:rsidR="007374CA" w:rsidRPr="00950A25" w:rsidTr="007374CA">
        <w:trPr>
          <w:cantSplit/>
          <w:trHeight w:val="407"/>
          <w:jc w:val="center"/>
        </w:trPr>
        <w:tc>
          <w:tcPr>
            <w:tcW w:w="80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374CA" w:rsidRPr="00950A25" w:rsidRDefault="007374CA" w:rsidP="00AB63D9">
            <w:pPr>
              <w:spacing w:before="100" w:beforeAutospacing="1" w:after="0"/>
              <w:rPr>
                <w:rFonts w:ascii="Times New Roman" w:hAnsi="Times New Roman" w:cs="Times New Roman"/>
                <w:color w:val="000000"/>
                <w:sz w:val="24"/>
                <w:szCs w:val="24"/>
                <w:lang w:val="uk-UA"/>
              </w:rPr>
            </w:pPr>
            <w:r w:rsidRPr="00950A25">
              <w:rPr>
                <w:rFonts w:ascii="Times New Roman" w:hAnsi="Times New Roman" w:cs="Times New Roman"/>
                <w:color w:val="000000"/>
                <w:sz w:val="24"/>
                <w:szCs w:val="24"/>
                <w:lang w:val="uk-UA"/>
              </w:rPr>
              <w:t>1.</w:t>
            </w:r>
            <w:r w:rsidR="00AB63D9">
              <w:rPr>
                <w:rFonts w:ascii="Times New Roman" w:hAnsi="Times New Roman" w:cs="Times New Roman"/>
                <w:color w:val="000000"/>
                <w:sz w:val="24"/>
                <w:szCs w:val="24"/>
                <w:lang w:val="uk-UA"/>
              </w:rPr>
              <w:t>2</w:t>
            </w:r>
            <w:r w:rsidRPr="00950A25">
              <w:rPr>
                <w:rFonts w:ascii="Times New Roman" w:hAnsi="Times New Roman" w:cs="Times New Roman"/>
                <w:color w:val="000000"/>
                <w:sz w:val="24"/>
                <w:szCs w:val="24"/>
                <w:lang w:val="uk-UA"/>
              </w:rPr>
              <w:t>.2</w:t>
            </w:r>
          </w:p>
        </w:tc>
        <w:tc>
          <w:tcPr>
            <w:tcW w:w="7384" w:type="dxa"/>
            <w:tcBorders>
              <w:top w:val="nil"/>
              <w:left w:val="nil"/>
              <w:bottom w:val="single" w:sz="4" w:space="0" w:color="auto"/>
              <w:right w:val="single" w:sz="8" w:space="0" w:color="000000"/>
            </w:tcBorders>
            <w:tcMar>
              <w:top w:w="0" w:type="dxa"/>
              <w:left w:w="108" w:type="dxa"/>
              <w:bottom w:w="0" w:type="dxa"/>
              <w:right w:w="108" w:type="dxa"/>
            </w:tcMar>
          </w:tcPr>
          <w:p w:rsidR="007374CA" w:rsidRPr="00950A25" w:rsidRDefault="007374CA" w:rsidP="003B49F2">
            <w:pPr>
              <w:spacing w:before="100" w:beforeAutospacing="1" w:after="0"/>
              <w:rPr>
                <w:rFonts w:ascii="Times New Roman" w:hAnsi="Times New Roman" w:cs="Times New Roman"/>
                <w:color w:val="000000"/>
                <w:sz w:val="24"/>
                <w:szCs w:val="24"/>
                <w:lang w:val="uk-UA"/>
              </w:rPr>
            </w:pPr>
            <w:r w:rsidRPr="00950A25">
              <w:rPr>
                <w:rFonts w:ascii="Times New Roman" w:hAnsi="Times New Roman" w:cs="Times New Roman"/>
                <w:color w:val="000000"/>
                <w:sz w:val="24"/>
                <w:szCs w:val="24"/>
                <w:lang w:val="uk-UA"/>
              </w:rPr>
              <w:t>позовні заяви направлені за підсудність</w:t>
            </w:r>
          </w:p>
        </w:tc>
        <w:tc>
          <w:tcPr>
            <w:tcW w:w="1377" w:type="dxa"/>
            <w:tcBorders>
              <w:top w:val="nil"/>
              <w:left w:val="nil"/>
              <w:bottom w:val="single" w:sz="4" w:space="0" w:color="auto"/>
              <w:right w:val="single" w:sz="8" w:space="0" w:color="000000"/>
            </w:tcBorders>
            <w:tcMar>
              <w:top w:w="0" w:type="dxa"/>
              <w:left w:w="108" w:type="dxa"/>
              <w:bottom w:w="0" w:type="dxa"/>
              <w:right w:w="108" w:type="dxa"/>
            </w:tcMar>
          </w:tcPr>
          <w:p w:rsidR="007374CA" w:rsidRPr="00950A25" w:rsidRDefault="00A15459" w:rsidP="003B49F2">
            <w:pPr>
              <w:spacing w:before="100" w:beforeAutospacing="1"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7374CA" w:rsidRPr="00950A25" w:rsidTr="007374CA">
        <w:trPr>
          <w:cantSplit/>
          <w:jc w:val="center"/>
        </w:trPr>
        <w:tc>
          <w:tcPr>
            <w:tcW w:w="8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74CA" w:rsidRPr="00950A25" w:rsidRDefault="007374CA" w:rsidP="00AB63D9">
            <w:pPr>
              <w:spacing w:before="100" w:beforeAutospacing="1" w:after="0"/>
              <w:rPr>
                <w:rFonts w:ascii="Tahoma" w:hAnsi="Tahoma" w:cs="Tahoma"/>
                <w:color w:val="000000"/>
                <w:sz w:val="14"/>
                <w:szCs w:val="14"/>
                <w:lang w:val="uk-UA"/>
              </w:rPr>
            </w:pPr>
            <w:r w:rsidRPr="00950A25">
              <w:rPr>
                <w:rFonts w:ascii="Times New Roman" w:hAnsi="Times New Roman" w:cs="Times New Roman"/>
                <w:color w:val="000000"/>
                <w:sz w:val="24"/>
                <w:szCs w:val="24"/>
                <w:lang w:val="uk-UA"/>
              </w:rPr>
              <w:t> 1.</w:t>
            </w:r>
            <w:r w:rsidR="00AB63D9">
              <w:rPr>
                <w:rFonts w:ascii="Times New Roman" w:hAnsi="Times New Roman" w:cs="Times New Roman"/>
                <w:color w:val="000000"/>
                <w:sz w:val="24"/>
                <w:szCs w:val="24"/>
                <w:lang w:val="uk-UA"/>
              </w:rPr>
              <w:t>2</w:t>
            </w:r>
            <w:r w:rsidRPr="00950A25">
              <w:rPr>
                <w:rFonts w:ascii="Times New Roman" w:hAnsi="Times New Roman" w:cs="Times New Roman"/>
                <w:color w:val="000000"/>
                <w:sz w:val="24"/>
                <w:szCs w:val="24"/>
                <w:lang w:val="uk-UA"/>
              </w:rPr>
              <w:t>.3</w:t>
            </w:r>
          </w:p>
        </w:tc>
        <w:tc>
          <w:tcPr>
            <w:tcW w:w="7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74CA" w:rsidRPr="00950A25" w:rsidRDefault="007374CA" w:rsidP="003B49F2">
            <w:pPr>
              <w:spacing w:before="100" w:beforeAutospacing="1" w:after="0"/>
              <w:rPr>
                <w:rFonts w:ascii="Tahoma" w:hAnsi="Tahoma" w:cs="Tahoma"/>
                <w:color w:val="000000"/>
                <w:sz w:val="14"/>
                <w:szCs w:val="14"/>
                <w:lang w:val="uk-UA"/>
              </w:rPr>
            </w:pPr>
            <w:r w:rsidRPr="00950A25">
              <w:rPr>
                <w:rFonts w:ascii="Times New Roman" w:hAnsi="Times New Roman" w:cs="Times New Roman"/>
                <w:color w:val="000000"/>
                <w:sz w:val="24"/>
                <w:szCs w:val="24"/>
                <w:lang w:val="uk-UA"/>
              </w:rPr>
              <w:t>позови, щодо яких винесено рішення про відмову у відкритті провадження у справі</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74CA" w:rsidRPr="00950A25" w:rsidRDefault="00A15459" w:rsidP="003B49F2">
            <w:pPr>
              <w:spacing w:before="100" w:beforeAutospacing="1" w:after="0"/>
              <w:jc w:val="center"/>
              <w:rPr>
                <w:rFonts w:ascii="Tahoma" w:hAnsi="Tahoma" w:cs="Tahoma"/>
                <w:color w:val="000000"/>
                <w:sz w:val="14"/>
                <w:szCs w:val="14"/>
                <w:lang w:val="uk-UA"/>
              </w:rPr>
            </w:pPr>
            <w:r>
              <w:rPr>
                <w:rFonts w:ascii="Times New Roman" w:hAnsi="Times New Roman" w:cs="Times New Roman"/>
                <w:color w:val="000000"/>
                <w:sz w:val="24"/>
                <w:szCs w:val="24"/>
                <w:lang w:val="uk-UA"/>
              </w:rPr>
              <w:t>52</w:t>
            </w:r>
          </w:p>
        </w:tc>
      </w:tr>
      <w:tr w:rsidR="007374CA" w:rsidRPr="00950A25" w:rsidTr="007374CA">
        <w:trPr>
          <w:cantSplit/>
          <w:trHeight w:val="49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7374CA" w:rsidRPr="00950A25" w:rsidRDefault="007374CA" w:rsidP="003B49F2">
            <w:pPr>
              <w:spacing w:after="0"/>
              <w:rPr>
                <w:rFonts w:ascii="Tahoma" w:hAnsi="Tahoma" w:cs="Tahoma"/>
                <w:color w:val="000000"/>
                <w:sz w:val="14"/>
                <w:szCs w:val="14"/>
                <w:lang w:val="uk-UA"/>
              </w:rPr>
            </w:pPr>
          </w:p>
        </w:tc>
        <w:tc>
          <w:tcPr>
            <w:tcW w:w="738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rPr>
                <w:rFonts w:ascii="Tahoma" w:hAnsi="Tahoma" w:cs="Tahoma"/>
                <w:color w:val="000000"/>
                <w:sz w:val="14"/>
                <w:szCs w:val="14"/>
                <w:lang w:val="uk-UA"/>
              </w:rPr>
            </w:pPr>
            <w:r w:rsidRPr="00950A25">
              <w:rPr>
                <w:rFonts w:ascii="Times New Roman" w:hAnsi="Times New Roman" w:cs="Times New Roman"/>
                <w:color w:val="000000"/>
                <w:sz w:val="24"/>
                <w:szCs w:val="24"/>
                <w:lang w:val="uk-UA"/>
              </w:rPr>
              <w:t>залишено без розгляду</w:t>
            </w:r>
          </w:p>
        </w:tc>
        <w:tc>
          <w:tcPr>
            <w:tcW w:w="137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374CA" w:rsidRPr="00A15459" w:rsidRDefault="00A15459" w:rsidP="003B49F2">
            <w:pPr>
              <w:spacing w:before="100" w:beforeAutospacing="1" w:after="0"/>
              <w:jc w:val="center"/>
              <w:rPr>
                <w:rFonts w:ascii="Times New Roman" w:hAnsi="Times New Roman" w:cs="Times New Roman"/>
                <w:color w:val="000000"/>
                <w:sz w:val="24"/>
                <w:szCs w:val="24"/>
                <w:lang w:val="uk-UA"/>
              </w:rPr>
            </w:pPr>
            <w:r w:rsidRPr="00A15459">
              <w:rPr>
                <w:rFonts w:ascii="Times New Roman" w:hAnsi="Times New Roman" w:cs="Times New Roman"/>
                <w:color w:val="000000"/>
                <w:sz w:val="24"/>
                <w:szCs w:val="24"/>
                <w:lang w:val="uk-UA"/>
              </w:rPr>
              <w:t>14</w:t>
            </w:r>
          </w:p>
        </w:tc>
      </w:tr>
      <w:tr w:rsidR="007374CA" w:rsidRPr="00950A25" w:rsidTr="007374CA">
        <w:trPr>
          <w:cantSplit/>
          <w:trHeight w:val="540"/>
          <w:jc w:val="center"/>
        </w:trPr>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74CA" w:rsidRPr="00950A25" w:rsidRDefault="007374CA" w:rsidP="00AB63D9">
            <w:pPr>
              <w:spacing w:before="100" w:beforeAutospacing="1" w:after="0"/>
              <w:rPr>
                <w:rFonts w:ascii="Tahoma" w:hAnsi="Tahoma" w:cs="Tahoma"/>
                <w:color w:val="000000"/>
                <w:sz w:val="14"/>
                <w:szCs w:val="14"/>
                <w:lang w:val="uk-UA"/>
              </w:rPr>
            </w:pPr>
            <w:r w:rsidRPr="00950A25">
              <w:rPr>
                <w:rFonts w:ascii="Times New Roman" w:hAnsi="Times New Roman" w:cs="Times New Roman"/>
                <w:color w:val="000000"/>
                <w:sz w:val="24"/>
                <w:szCs w:val="24"/>
                <w:lang w:val="uk-UA"/>
              </w:rPr>
              <w:lastRenderedPageBreak/>
              <w:t>1.</w:t>
            </w:r>
            <w:r w:rsidR="00AB63D9">
              <w:rPr>
                <w:rFonts w:ascii="Times New Roman" w:hAnsi="Times New Roman" w:cs="Times New Roman"/>
                <w:color w:val="000000"/>
                <w:sz w:val="24"/>
                <w:szCs w:val="24"/>
                <w:lang w:val="uk-UA"/>
              </w:rPr>
              <w:t>2</w:t>
            </w:r>
            <w:r w:rsidRPr="00950A25">
              <w:rPr>
                <w:rFonts w:ascii="Times New Roman" w:hAnsi="Times New Roman" w:cs="Times New Roman"/>
                <w:color w:val="000000"/>
                <w:sz w:val="24"/>
                <w:szCs w:val="24"/>
                <w:lang w:val="uk-UA"/>
              </w:rPr>
              <w:t>.4</w:t>
            </w:r>
          </w:p>
        </w:tc>
        <w:tc>
          <w:tcPr>
            <w:tcW w:w="7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74CA" w:rsidRPr="00950A25" w:rsidRDefault="007374CA" w:rsidP="003B49F2">
            <w:pPr>
              <w:spacing w:before="100" w:beforeAutospacing="1" w:after="0"/>
              <w:rPr>
                <w:rFonts w:ascii="Tahoma" w:hAnsi="Tahoma" w:cs="Tahoma"/>
                <w:color w:val="000000"/>
                <w:sz w:val="14"/>
                <w:szCs w:val="14"/>
                <w:lang w:val="uk-UA"/>
              </w:rPr>
            </w:pPr>
            <w:r w:rsidRPr="00950A25">
              <w:rPr>
                <w:rFonts w:ascii="Times New Roman" w:hAnsi="Times New Roman" w:cs="Times New Roman"/>
                <w:color w:val="000000"/>
                <w:sz w:val="24"/>
                <w:szCs w:val="24"/>
                <w:lang w:val="uk-UA"/>
              </w:rPr>
              <w:t>позови, щодо яких вирішено питання про відкриття провадження</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74CA" w:rsidRPr="00950A25" w:rsidRDefault="00A15459" w:rsidP="003B49F2">
            <w:pPr>
              <w:spacing w:before="100" w:beforeAutospacing="1" w:after="0"/>
              <w:jc w:val="center"/>
              <w:rPr>
                <w:rFonts w:ascii="Tahoma" w:hAnsi="Tahoma" w:cs="Tahoma"/>
                <w:color w:val="000000"/>
                <w:sz w:val="14"/>
                <w:szCs w:val="14"/>
                <w:lang w:val="uk-UA"/>
              </w:rPr>
            </w:pPr>
            <w:r>
              <w:rPr>
                <w:rFonts w:ascii="Times New Roman" w:hAnsi="Times New Roman" w:cs="Times New Roman"/>
                <w:color w:val="000000"/>
                <w:sz w:val="24"/>
                <w:szCs w:val="24"/>
                <w:lang w:val="uk-UA"/>
              </w:rPr>
              <w:t>3534</w:t>
            </w:r>
          </w:p>
        </w:tc>
      </w:tr>
      <w:tr w:rsidR="007374CA" w:rsidRPr="00950A25" w:rsidTr="007374CA">
        <w:trPr>
          <w:cantSplit/>
          <w:jc w:val="center"/>
        </w:trPr>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74CA" w:rsidRPr="00950A25" w:rsidRDefault="00AB63D9" w:rsidP="00AB63D9">
            <w:pPr>
              <w:spacing w:before="100" w:beforeAutospacing="1" w:after="0"/>
              <w:rPr>
                <w:rFonts w:ascii="Tahoma" w:hAnsi="Tahoma" w:cs="Tahoma"/>
                <w:color w:val="000000"/>
                <w:sz w:val="14"/>
                <w:szCs w:val="14"/>
                <w:lang w:val="uk-UA"/>
              </w:rPr>
            </w:pPr>
            <w:r w:rsidRPr="00950A25">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3</w:t>
            </w:r>
          </w:p>
        </w:tc>
        <w:tc>
          <w:tcPr>
            <w:tcW w:w="7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74CA" w:rsidRPr="00950A25" w:rsidRDefault="007374CA" w:rsidP="003B49F2">
            <w:pPr>
              <w:spacing w:before="100" w:beforeAutospacing="1" w:after="0"/>
              <w:rPr>
                <w:rFonts w:ascii="Tahoma" w:hAnsi="Tahoma" w:cs="Tahoma"/>
                <w:color w:val="000000"/>
                <w:sz w:val="14"/>
                <w:szCs w:val="14"/>
                <w:lang w:val="uk-UA"/>
              </w:rPr>
            </w:pPr>
            <w:r w:rsidRPr="00950A25">
              <w:rPr>
                <w:rFonts w:ascii="Times New Roman" w:hAnsi="Times New Roman" w:cs="Times New Roman"/>
                <w:color w:val="000000"/>
                <w:sz w:val="24"/>
                <w:szCs w:val="24"/>
                <w:lang w:val="uk-UA"/>
              </w:rPr>
              <w:t xml:space="preserve">позовні заяви, щодо яких не вирішено питання про відкриття провадження у справі </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74CA" w:rsidRPr="00950A25" w:rsidRDefault="00A15459" w:rsidP="003B49F2">
            <w:pPr>
              <w:spacing w:before="100" w:beforeAutospacing="1" w:after="0"/>
              <w:jc w:val="center"/>
              <w:rPr>
                <w:rFonts w:ascii="Tahoma" w:hAnsi="Tahoma" w:cs="Tahoma"/>
                <w:b/>
                <w:sz w:val="14"/>
                <w:szCs w:val="14"/>
                <w:lang w:val="uk-UA"/>
              </w:rPr>
            </w:pPr>
            <w:r>
              <w:rPr>
                <w:rFonts w:ascii="Times New Roman" w:hAnsi="Times New Roman" w:cs="Times New Roman"/>
                <w:b/>
                <w:sz w:val="24"/>
                <w:szCs w:val="24"/>
                <w:lang w:val="uk-UA"/>
              </w:rPr>
              <w:t>321</w:t>
            </w:r>
          </w:p>
        </w:tc>
      </w:tr>
      <w:tr w:rsidR="007374CA" w:rsidRPr="00950A25" w:rsidTr="007374CA">
        <w:trPr>
          <w:cantSplit/>
          <w:jc w:val="center"/>
        </w:trPr>
        <w:tc>
          <w:tcPr>
            <w:tcW w:w="9570" w:type="dxa"/>
            <w:gridSpan w:val="3"/>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jc w:val="center"/>
              <w:rPr>
                <w:rFonts w:ascii="Tahoma" w:hAnsi="Tahoma" w:cs="Tahoma"/>
                <w:color w:val="000000"/>
                <w:sz w:val="14"/>
                <w:szCs w:val="14"/>
                <w:lang w:val="uk-UA"/>
              </w:rPr>
            </w:pPr>
            <w:r w:rsidRPr="00950A25">
              <w:rPr>
                <w:rFonts w:ascii="Times New Roman" w:hAnsi="Times New Roman" w:cs="Times New Roman"/>
                <w:b/>
                <w:bCs/>
                <w:color w:val="000000"/>
                <w:sz w:val="24"/>
                <w:szCs w:val="24"/>
                <w:lang w:val="uk-UA"/>
              </w:rPr>
              <w:t>в тому числі:</w:t>
            </w:r>
          </w:p>
        </w:tc>
      </w:tr>
      <w:tr w:rsidR="007374CA" w:rsidRPr="00950A25" w:rsidTr="007374CA">
        <w:trPr>
          <w:cantSplit/>
          <w:jc w:val="center"/>
        </w:trPr>
        <w:tc>
          <w:tcPr>
            <w:tcW w:w="8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374CA" w:rsidRPr="00950A25" w:rsidRDefault="007374CA" w:rsidP="00AB63D9">
            <w:pPr>
              <w:spacing w:before="100" w:beforeAutospacing="1" w:after="0"/>
              <w:rPr>
                <w:rFonts w:ascii="Tahoma" w:hAnsi="Tahoma" w:cs="Tahoma"/>
                <w:color w:val="000000"/>
                <w:sz w:val="14"/>
                <w:szCs w:val="14"/>
                <w:lang w:val="uk-UA"/>
              </w:rPr>
            </w:pPr>
            <w:r w:rsidRPr="00950A25">
              <w:rPr>
                <w:rFonts w:ascii="Times New Roman" w:hAnsi="Times New Roman" w:cs="Times New Roman"/>
                <w:color w:val="000000"/>
                <w:sz w:val="24"/>
                <w:szCs w:val="24"/>
                <w:lang w:val="uk-UA"/>
              </w:rPr>
              <w:t>1.</w:t>
            </w:r>
            <w:r w:rsidR="00AB63D9">
              <w:rPr>
                <w:rFonts w:ascii="Times New Roman" w:hAnsi="Times New Roman" w:cs="Times New Roman"/>
                <w:color w:val="000000"/>
                <w:sz w:val="24"/>
                <w:szCs w:val="24"/>
                <w:lang w:val="uk-UA"/>
              </w:rPr>
              <w:t>3</w:t>
            </w:r>
            <w:r w:rsidRPr="00950A25">
              <w:rPr>
                <w:rFonts w:ascii="Times New Roman" w:hAnsi="Times New Roman" w:cs="Times New Roman"/>
                <w:color w:val="000000"/>
                <w:sz w:val="24"/>
                <w:szCs w:val="24"/>
                <w:lang w:val="uk-UA"/>
              </w:rPr>
              <w:t>.1</w:t>
            </w:r>
          </w:p>
        </w:tc>
        <w:tc>
          <w:tcPr>
            <w:tcW w:w="7384" w:type="dxa"/>
            <w:tcBorders>
              <w:top w:val="nil"/>
              <w:left w:val="nil"/>
              <w:bottom w:val="single" w:sz="4" w:space="0" w:color="auto"/>
              <w:right w:val="single" w:sz="8" w:space="0" w:color="000000"/>
            </w:tcBorders>
            <w:tcMar>
              <w:top w:w="0" w:type="dxa"/>
              <w:left w:w="108" w:type="dxa"/>
              <w:bottom w:w="0" w:type="dxa"/>
              <w:right w:w="108" w:type="dxa"/>
            </w:tcMar>
            <w:hideMark/>
          </w:tcPr>
          <w:p w:rsidR="007374CA" w:rsidRPr="00950A25" w:rsidRDefault="007374CA" w:rsidP="003B49F2">
            <w:pPr>
              <w:spacing w:before="100" w:beforeAutospacing="1" w:after="0"/>
              <w:rPr>
                <w:rFonts w:ascii="Tahoma" w:hAnsi="Tahoma" w:cs="Tahoma"/>
                <w:color w:val="000000"/>
                <w:sz w:val="14"/>
                <w:szCs w:val="14"/>
                <w:lang w:val="uk-UA"/>
              </w:rPr>
            </w:pPr>
            <w:r w:rsidRPr="00950A25">
              <w:rPr>
                <w:rFonts w:ascii="Times New Roman" w:hAnsi="Times New Roman" w:cs="Times New Roman"/>
                <w:color w:val="000000"/>
                <w:sz w:val="24"/>
                <w:szCs w:val="24"/>
                <w:lang w:val="uk-UA"/>
              </w:rPr>
              <w:t>залишені без руху з наданням строку для усунення недоліків</w:t>
            </w:r>
          </w:p>
        </w:tc>
        <w:tc>
          <w:tcPr>
            <w:tcW w:w="1377" w:type="dxa"/>
            <w:tcBorders>
              <w:top w:val="nil"/>
              <w:left w:val="nil"/>
              <w:bottom w:val="single" w:sz="4" w:space="0" w:color="auto"/>
              <w:right w:val="single" w:sz="8" w:space="0" w:color="000000"/>
            </w:tcBorders>
            <w:tcMar>
              <w:top w:w="0" w:type="dxa"/>
              <w:left w:w="108" w:type="dxa"/>
              <w:bottom w:w="0" w:type="dxa"/>
              <w:right w:w="108" w:type="dxa"/>
            </w:tcMar>
            <w:hideMark/>
          </w:tcPr>
          <w:p w:rsidR="007374CA" w:rsidRPr="00950A25" w:rsidRDefault="00A15459" w:rsidP="003B49F2">
            <w:pPr>
              <w:spacing w:before="100" w:beforeAutospacing="1" w:after="0"/>
              <w:jc w:val="center"/>
              <w:rPr>
                <w:rFonts w:ascii="Tahoma" w:hAnsi="Tahoma" w:cs="Tahoma"/>
                <w:color w:val="000000"/>
                <w:sz w:val="14"/>
                <w:szCs w:val="14"/>
                <w:lang w:val="uk-UA"/>
              </w:rPr>
            </w:pPr>
            <w:r>
              <w:rPr>
                <w:rFonts w:ascii="Times New Roman" w:hAnsi="Times New Roman" w:cs="Times New Roman"/>
                <w:color w:val="000000"/>
                <w:sz w:val="24"/>
                <w:szCs w:val="24"/>
                <w:lang w:val="uk-UA"/>
              </w:rPr>
              <w:t>252</w:t>
            </w:r>
          </w:p>
        </w:tc>
      </w:tr>
    </w:tbl>
    <w:p w:rsidR="00E509C3" w:rsidRDefault="00E509C3" w:rsidP="00B8621D">
      <w:pPr>
        <w:spacing w:after="0" w:line="240" w:lineRule="auto"/>
        <w:ind w:firstLine="720"/>
        <w:jc w:val="both"/>
        <w:rPr>
          <w:rFonts w:ascii="Times New Roman" w:hAnsi="Times New Roman"/>
          <w:sz w:val="24"/>
          <w:szCs w:val="24"/>
          <w:lang w:val="uk-UA"/>
        </w:rPr>
      </w:pPr>
    </w:p>
    <w:p w:rsidR="00E2171C" w:rsidRDefault="00B8621D" w:rsidP="00E2171C">
      <w:pPr>
        <w:spacing w:after="0" w:line="240" w:lineRule="auto"/>
        <w:ind w:firstLine="720"/>
        <w:jc w:val="both"/>
        <w:rPr>
          <w:rFonts w:ascii="Times New Roman" w:hAnsi="Times New Roman"/>
          <w:sz w:val="24"/>
          <w:szCs w:val="24"/>
          <w:lang w:val="uk-UA"/>
        </w:rPr>
      </w:pPr>
      <w:r w:rsidRPr="00331A56">
        <w:rPr>
          <w:rFonts w:ascii="Times New Roman" w:hAnsi="Times New Roman"/>
          <w:sz w:val="24"/>
          <w:szCs w:val="24"/>
          <w:lang w:val="uk-UA"/>
        </w:rPr>
        <w:t>У процентному співвідношенні до загальної кількості позовних заяв, що перебували на розгляді Запорізького окружного адміністративного суду у звітному періоді, результати вирішення питання про відкриття провадження у справі мають такий вигляд</w:t>
      </w:r>
      <w:r w:rsidR="00B5296E">
        <w:rPr>
          <w:rFonts w:ascii="Times New Roman" w:hAnsi="Times New Roman"/>
          <w:sz w:val="24"/>
          <w:szCs w:val="24"/>
          <w:lang w:val="uk-UA"/>
        </w:rPr>
        <w:t>:</w:t>
      </w:r>
    </w:p>
    <w:p w:rsidR="00E509C3" w:rsidRDefault="00E509C3" w:rsidP="00E2171C">
      <w:pPr>
        <w:spacing w:after="0" w:line="240" w:lineRule="auto"/>
        <w:ind w:firstLine="720"/>
        <w:jc w:val="both"/>
        <w:rPr>
          <w:rFonts w:ascii="Times New Roman" w:hAnsi="Times New Roman"/>
          <w:sz w:val="24"/>
          <w:szCs w:val="24"/>
          <w:lang w:val="uk-UA"/>
        </w:rPr>
      </w:pPr>
    </w:p>
    <w:p w:rsidR="00997969" w:rsidRPr="00331A56" w:rsidRDefault="00997969" w:rsidP="00997969">
      <w:pPr>
        <w:spacing w:after="0" w:line="240" w:lineRule="auto"/>
        <w:jc w:val="center"/>
        <w:rPr>
          <w:b/>
          <w:bCs/>
          <w:sz w:val="24"/>
          <w:szCs w:val="24"/>
          <w:lang w:val="uk-UA"/>
        </w:rPr>
      </w:pPr>
      <w:r w:rsidRPr="00331A56">
        <w:rPr>
          <w:b/>
          <w:noProof/>
          <w:sz w:val="24"/>
          <w:szCs w:val="24"/>
        </w:rPr>
        <w:drawing>
          <wp:inline distT="0" distB="0" distL="0" distR="0">
            <wp:extent cx="5378823" cy="2036269"/>
            <wp:effectExtent l="0" t="0" r="0" b="0"/>
            <wp:docPr id="10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2861" w:rsidRDefault="008D2861" w:rsidP="008D2861">
      <w:pPr>
        <w:spacing w:after="0" w:line="240" w:lineRule="auto"/>
        <w:jc w:val="both"/>
        <w:rPr>
          <w:rFonts w:ascii="Times New Roman" w:hAnsi="Times New Roman"/>
          <w:sz w:val="24"/>
          <w:szCs w:val="24"/>
          <w:lang w:val="uk-UA"/>
        </w:rPr>
      </w:pPr>
    </w:p>
    <w:p w:rsidR="00487C2E" w:rsidRDefault="00487C2E" w:rsidP="008D2861">
      <w:pPr>
        <w:spacing w:after="0" w:line="240" w:lineRule="auto"/>
        <w:jc w:val="both"/>
        <w:rPr>
          <w:rFonts w:ascii="Times New Roman" w:hAnsi="Times New Roman"/>
          <w:sz w:val="24"/>
          <w:szCs w:val="24"/>
          <w:lang w:val="uk-UA"/>
        </w:rPr>
      </w:pPr>
    </w:p>
    <w:p w:rsidR="005E180A" w:rsidRPr="005E180A" w:rsidRDefault="005E180A" w:rsidP="005E180A">
      <w:pPr>
        <w:spacing w:after="0" w:line="240" w:lineRule="auto"/>
        <w:ind w:firstLine="720"/>
        <w:jc w:val="both"/>
        <w:rPr>
          <w:rFonts w:ascii="Times New Roman" w:hAnsi="Times New Roman" w:cs="Times New Roman"/>
          <w:sz w:val="24"/>
          <w:szCs w:val="24"/>
          <w:lang w:val="uk-UA"/>
        </w:rPr>
      </w:pPr>
      <w:r w:rsidRPr="005E180A">
        <w:rPr>
          <w:rFonts w:ascii="Times New Roman" w:hAnsi="Times New Roman" w:cs="Times New Roman"/>
          <w:sz w:val="24"/>
          <w:szCs w:val="24"/>
          <w:lang w:val="uk-UA"/>
        </w:rPr>
        <w:t xml:space="preserve">Слід </w:t>
      </w:r>
      <w:r w:rsidR="007066EA">
        <w:rPr>
          <w:rFonts w:ascii="Times New Roman" w:hAnsi="Times New Roman" w:cs="Times New Roman"/>
          <w:sz w:val="24"/>
          <w:szCs w:val="24"/>
          <w:lang w:val="uk-UA"/>
        </w:rPr>
        <w:t>відмітити</w:t>
      </w:r>
      <w:r w:rsidRPr="005E180A">
        <w:rPr>
          <w:rFonts w:ascii="Times New Roman" w:hAnsi="Times New Roman" w:cs="Times New Roman"/>
          <w:sz w:val="24"/>
          <w:szCs w:val="24"/>
          <w:lang w:val="uk-UA"/>
        </w:rPr>
        <w:t>, що у даному звітному періоді судом не допущено жодного порушення строків, передбачених статтею 107 КАС України</w:t>
      </w:r>
      <w:r w:rsidR="00782FD3">
        <w:rPr>
          <w:rFonts w:ascii="Times New Roman" w:hAnsi="Times New Roman" w:cs="Times New Roman"/>
          <w:sz w:val="24"/>
          <w:szCs w:val="24"/>
          <w:lang w:val="uk-UA"/>
        </w:rPr>
        <w:t>.</w:t>
      </w:r>
      <w:r w:rsidRPr="005E180A">
        <w:rPr>
          <w:rFonts w:ascii="Times New Roman" w:hAnsi="Times New Roman" w:cs="Times New Roman"/>
          <w:sz w:val="24"/>
          <w:szCs w:val="24"/>
          <w:lang w:val="uk-UA"/>
        </w:rPr>
        <w:t xml:space="preserve"> </w:t>
      </w:r>
    </w:p>
    <w:p w:rsidR="00E900F0" w:rsidRPr="005E180A" w:rsidRDefault="00E900F0" w:rsidP="00B8621D">
      <w:pPr>
        <w:spacing w:after="0" w:line="240" w:lineRule="auto"/>
        <w:ind w:firstLine="708"/>
        <w:jc w:val="both"/>
        <w:rPr>
          <w:rFonts w:ascii="Times New Roman" w:hAnsi="Times New Roman"/>
          <w:sz w:val="24"/>
          <w:szCs w:val="24"/>
          <w:lang w:val="uk-UA"/>
        </w:rPr>
      </w:pPr>
    </w:p>
    <w:p w:rsidR="008D0997" w:rsidRPr="006E38E1" w:rsidRDefault="00B8621D" w:rsidP="00B8621D">
      <w:pPr>
        <w:spacing w:after="0" w:line="240" w:lineRule="auto"/>
        <w:ind w:firstLine="708"/>
        <w:jc w:val="both"/>
        <w:rPr>
          <w:rFonts w:ascii="Times New Roman" w:hAnsi="Times New Roman"/>
          <w:sz w:val="24"/>
          <w:szCs w:val="24"/>
          <w:lang w:val="uk-UA"/>
        </w:rPr>
      </w:pPr>
      <w:r w:rsidRPr="00D93767">
        <w:rPr>
          <w:rFonts w:ascii="Times New Roman" w:hAnsi="Times New Roman"/>
          <w:sz w:val="24"/>
          <w:szCs w:val="24"/>
          <w:lang w:val="uk-UA"/>
        </w:rPr>
        <w:t xml:space="preserve">На підставі статистичних даних щодо навантаження на суддю Запорізького окружного адміністративного суду були проведені розрахунки середньомісячного надходження </w:t>
      </w:r>
      <w:r w:rsidR="005E1D86" w:rsidRPr="00D93767">
        <w:rPr>
          <w:rFonts w:ascii="Times New Roman" w:hAnsi="Times New Roman"/>
          <w:sz w:val="24"/>
          <w:szCs w:val="24"/>
          <w:lang w:val="uk-UA"/>
        </w:rPr>
        <w:t>справ та матеріалів</w:t>
      </w:r>
      <w:r w:rsidRPr="00D93767">
        <w:rPr>
          <w:rFonts w:ascii="Times New Roman" w:hAnsi="Times New Roman"/>
          <w:sz w:val="24"/>
          <w:szCs w:val="24"/>
          <w:lang w:val="uk-UA"/>
        </w:rPr>
        <w:t xml:space="preserve"> на розгляд судді. </w:t>
      </w:r>
      <w:r w:rsidR="00454AF0" w:rsidRPr="00D93767">
        <w:rPr>
          <w:rFonts w:ascii="Times New Roman" w:hAnsi="Times New Roman"/>
          <w:sz w:val="24"/>
          <w:szCs w:val="24"/>
          <w:lang w:val="uk-UA"/>
        </w:rPr>
        <w:t>Враховуючи чисельність</w:t>
      </w:r>
      <w:r w:rsidRPr="00D93767">
        <w:rPr>
          <w:rFonts w:ascii="Times New Roman" w:hAnsi="Times New Roman"/>
          <w:sz w:val="24"/>
          <w:szCs w:val="24"/>
          <w:lang w:val="uk-UA"/>
        </w:rPr>
        <w:t xml:space="preserve"> фактично працюючих суддів (</w:t>
      </w:r>
      <w:r w:rsidR="00905FA4" w:rsidRPr="00D93767">
        <w:rPr>
          <w:rFonts w:ascii="Times New Roman" w:hAnsi="Times New Roman"/>
          <w:sz w:val="24"/>
          <w:szCs w:val="24"/>
          <w:lang w:val="uk-UA"/>
        </w:rPr>
        <w:t>1</w:t>
      </w:r>
      <w:r w:rsidR="0041385F" w:rsidRPr="00D93767">
        <w:rPr>
          <w:rFonts w:ascii="Times New Roman" w:hAnsi="Times New Roman"/>
          <w:sz w:val="24"/>
          <w:szCs w:val="24"/>
          <w:lang w:val="uk-UA"/>
        </w:rPr>
        <w:t>0</w:t>
      </w:r>
      <w:r w:rsidRPr="00D93767">
        <w:rPr>
          <w:rFonts w:ascii="Times New Roman" w:hAnsi="Times New Roman"/>
          <w:sz w:val="24"/>
          <w:szCs w:val="24"/>
          <w:lang w:val="uk-UA"/>
        </w:rPr>
        <w:t xml:space="preserve">), показник середньомісячного надходження складає </w:t>
      </w:r>
      <w:r w:rsidR="0041385F" w:rsidRPr="00D93767">
        <w:rPr>
          <w:rFonts w:ascii="Times New Roman" w:hAnsi="Times New Roman"/>
          <w:sz w:val="24"/>
          <w:szCs w:val="24"/>
          <w:lang w:val="uk-UA"/>
        </w:rPr>
        <w:t>71</w:t>
      </w:r>
      <w:r w:rsidR="0027361E" w:rsidRPr="00D93767">
        <w:rPr>
          <w:rFonts w:ascii="Times New Roman" w:hAnsi="Times New Roman"/>
          <w:sz w:val="24"/>
          <w:szCs w:val="24"/>
          <w:lang w:val="uk-UA"/>
        </w:rPr>
        <w:t xml:space="preserve"> </w:t>
      </w:r>
      <w:r w:rsidR="00E33BCF" w:rsidRPr="00D93767">
        <w:rPr>
          <w:rFonts w:ascii="Times New Roman" w:hAnsi="Times New Roman"/>
          <w:sz w:val="24"/>
          <w:szCs w:val="24"/>
          <w:lang w:val="uk-UA"/>
        </w:rPr>
        <w:t>справ</w:t>
      </w:r>
      <w:r w:rsidR="00D93767" w:rsidRPr="00D93767">
        <w:rPr>
          <w:rFonts w:ascii="Times New Roman" w:hAnsi="Times New Roman"/>
          <w:sz w:val="24"/>
          <w:szCs w:val="24"/>
          <w:lang w:val="uk-UA"/>
        </w:rPr>
        <w:t>у</w:t>
      </w:r>
      <w:r w:rsidR="00E33BCF" w:rsidRPr="00D93767">
        <w:rPr>
          <w:rFonts w:ascii="Times New Roman" w:hAnsi="Times New Roman"/>
          <w:sz w:val="24"/>
          <w:szCs w:val="24"/>
          <w:lang w:val="uk-UA"/>
        </w:rPr>
        <w:t xml:space="preserve"> та матеріалів</w:t>
      </w:r>
      <w:r w:rsidRPr="00D93767">
        <w:rPr>
          <w:rFonts w:ascii="Times New Roman" w:hAnsi="Times New Roman"/>
          <w:sz w:val="24"/>
          <w:szCs w:val="24"/>
          <w:lang w:val="uk-UA"/>
        </w:rPr>
        <w:t>.</w:t>
      </w:r>
    </w:p>
    <w:p w:rsidR="00DF64E5" w:rsidRPr="006E38E1" w:rsidRDefault="00DF64E5" w:rsidP="00B8621D">
      <w:pPr>
        <w:spacing w:after="0" w:line="240" w:lineRule="auto"/>
        <w:ind w:firstLine="708"/>
        <w:jc w:val="both"/>
        <w:rPr>
          <w:rFonts w:ascii="Times New Roman" w:hAnsi="Times New Roman"/>
          <w:sz w:val="24"/>
          <w:szCs w:val="24"/>
          <w:lang w:val="uk-UA"/>
        </w:rPr>
      </w:pPr>
    </w:p>
    <w:p w:rsidR="00DF64E5" w:rsidRPr="00331A56" w:rsidRDefault="00DF64E5" w:rsidP="00DF64E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Згідно </w:t>
      </w:r>
      <w:r w:rsidR="00582FD7">
        <w:rPr>
          <w:rFonts w:ascii="Times New Roman" w:hAnsi="Times New Roman"/>
          <w:sz w:val="24"/>
          <w:szCs w:val="24"/>
          <w:lang w:val="uk-UA"/>
        </w:rPr>
        <w:t xml:space="preserve">з </w:t>
      </w:r>
      <w:r>
        <w:rPr>
          <w:rFonts w:ascii="Times New Roman" w:hAnsi="Times New Roman"/>
          <w:sz w:val="24"/>
          <w:szCs w:val="24"/>
          <w:lang w:val="uk-UA"/>
        </w:rPr>
        <w:t>дани</w:t>
      </w:r>
      <w:r w:rsidR="00582FD7">
        <w:rPr>
          <w:rFonts w:ascii="Times New Roman" w:hAnsi="Times New Roman"/>
          <w:sz w:val="24"/>
          <w:szCs w:val="24"/>
          <w:lang w:val="uk-UA"/>
        </w:rPr>
        <w:t>ми</w:t>
      </w:r>
      <w:r>
        <w:rPr>
          <w:rFonts w:ascii="Times New Roman" w:hAnsi="Times New Roman"/>
          <w:sz w:val="24"/>
          <w:szCs w:val="24"/>
          <w:lang w:val="uk-UA"/>
        </w:rPr>
        <w:t xml:space="preserve"> Базових показників роботи суду середня кількість справ та матеріалів, що перебували на розгляді в звітному періоді</w:t>
      </w:r>
      <w:r w:rsidR="00582FD7">
        <w:rPr>
          <w:rFonts w:ascii="Times New Roman" w:hAnsi="Times New Roman"/>
          <w:sz w:val="24"/>
          <w:szCs w:val="24"/>
          <w:lang w:val="uk-UA"/>
        </w:rPr>
        <w:t>,</w:t>
      </w:r>
      <w:r>
        <w:rPr>
          <w:rFonts w:ascii="Times New Roman" w:hAnsi="Times New Roman"/>
          <w:sz w:val="24"/>
          <w:szCs w:val="24"/>
          <w:lang w:val="uk-UA"/>
        </w:rPr>
        <w:t xml:space="preserve"> з розрахунку на одного суддю становить </w:t>
      </w:r>
      <w:r w:rsidR="00EE4ECA">
        <w:rPr>
          <w:rFonts w:ascii="Times New Roman" w:hAnsi="Times New Roman"/>
          <w:sz w:val="24"/>
          <w:szCs w:val="24"/>
          <w:lang w:val="uk-UA"/>
        </w:rPr>
        <w:t>671</w:t>
      </w:r>
      <w:r>
        <w:rPr>
          <w:rFonts w:ascii="Times New Roman" w:hAnsi="Times New Roman"/>
          <w:sz w:val="24"/>
          <w:szCs w:val="24"/>
          <w:lang w:val="uk-UA"/>
        </w:rPr>
        <w:t xml:space="preserve"> справ</w:t>
      </w:r>
      <w:r w:rsidR="00D93767">
        <w:rPr>
          <w:rFonts w:ascii="Times New Roman" w:hAnsi="Times New Roman"/>
          <w:sz w:val="24"/>
          <w:szCs w:val="24"/>
          <w:lang w:val="uk-UA"/>
        </w:rPr>
        <w:t>у</w:t>
      </w:r>
      <w:r w:rsidR="005E1D86">
        <w:rPr>
          <w:rFonts w:ascii="Times New Roman" w:hAnsi="Times New Roman"/>
          <w:sz w:val="24"/>
          <w:szCs w:val="24"/>
          <w:lang w:val="uk-UA"/>
        </w:rPr>
        <w:t xml:space="preserve"> та матеріал</w:t>
      </w:r>
      <w:r w:rsidR="00EE4ECA">
        <w:rPr>
          <w:rFonts w:ascii="Times New Roman" w:hAnsi="Times New Roman"/>
          <w:sz w:val="24"/>
          <w:szCs w:val="24"/>
          <w:lang w:val="uk-UA"/>
        </w:rPr>
        <w:t>, що на 23,8% більше ніж у 2016 році (542)</w:t>
      </w:r>
      <w:r>
        <w:rPr>
          <w:rFonts w:ascii="Times New Roman" w:hAnsi="Times New Roman"/>
          <w:sz w:val="24"/>
          <w:szCs w:val="24"/>
          <w:lang w:val="uk-UA"/>
        </w:rPr>
        <w:t>.</w:t>
      </w:r>
    </w:p>
    <w:p w:rsidR="000B12AE" w:rsidRPr="00331A56" w:rsidRDefault="000B12AE" w:rsidP="00B8621D">
      <w:pPr>
        <w:spacing w:after="0" w:line="240" w:lineRule="auto"/>
        <w:ind w:firstLine="708"/>
        <w:jc w:val="both"/>
        <w:rPr>
          <w:rFonts w:ascii="Times New Roman" w:hAnsi="Times New Roman" w:cs="Times New Roman"/>
          <w:sz w:val="24"/>
          <w:szCs w:val="24"/>
          <w:lang w:val="uk-UA"/>
        </w:rPr>
      </w:pPr>
    </w:p>
    <w:p w:rsidR="00441DA8" w:rsidRDefault="00441DA8" w:rsidP="00441DA8">
      <w:pPr>
        <w:spacing w:after="0" w:line="240" w:lineRule="auto"/>
        <w:jc w:val="center"/>
        <w:rPr>
          <w:rFonts w:ascii="Times New Roman" w:hAnsi="Times New Roman" w:cs="Times New Roman"/>
          <w:b/>
          <w:sz w:val="24"/>
          <w:szCs w:val="24"/>
          <w:lang w:val="uk-UA"/>
        </w:rPr>
      </w:pPr>
      <w:r w:rsidRPr="00331A56">
        <w:rPr>
          <w:rFonts w:ascii="Times New Roman" w:hAnsi="Times New Roman" w:cs="Times New Roman"/>
          <w:b/>
          <w:sz w:val="24"/>
          <w:szCs w:val="24"/>
          <w:lang w:val="uk-UA"/>
        </w:rPr>
        <w:t>Розгляд адміністративних справ</w:t>
      </w:r>
    </w:p>
    <w:p w:rsidR="00771BE7" w:rsidRPr="00331A56" w:rsidRDefault="00771BE7" w:rsidP="00441DA8">
      <w:pPr>
        <w:spacing w:after="0" w:line="240" w:lineRule="auto"/>
        <w:jc w:val="center"/>
        <w:rPr>
          <w:rFonts w:ascii="Times New Roman" w:hAnsi="Times New Roman" w:cs="Times New Roman"/>
          <w:b/>
          <w:sz w:val="24"/>
          <w:szCs w:val="24"/>
          <w:lang w:val="uk-UA"/>
        </w:rPr>
      </w:pPr>
    </w:p>
    <w:p w:rsidR="006E047E" w:rsidRPr="00331A56" w:rsidRDefault="00B8621D" w:rsidP="006E047E">
      <w:pPr>
        <w:spacing w:after="0" w:line="240" w:lineRule="auto"/>
        <w:ind w:firstLine="708"/>
        <w:jc w:val="both"/>
        <w:rPr>
          <w:rFonts w:ascii="Times New Roman" w:hAnsi="Times New Roman"/>
          <w:sz w:val="24"/>
          <w:szCs w:val="24"/>
          <w:lang w:val="uk-UA"/>
        </w:rPr>
      </w:pPr>
      <w:r w:rsidRPr="00331A56">
        <w:rPr>
          <w:rFonts w:ascii="Times New Roman" w:hAnsi="Times New Roman"/>
          <w:sz w:val="24"/>
          <w:szCs w:val="24"/>
          <w:lang w:val="uk-UA"/>
        </w:rPr>
        <w:t>У</w:t>
      </w:r>
      <w:r w:rsidR="00B5296E">
        <w:rPr>
          <w:rFonts w:ascii="Times New Roman" w:hAnsi="Times New Roman"/>
          <w:sz w:val="24"/>
          <w:szCs w:val="24"/>
          <w:lang w:val="uk-UA"/>
        </w:rPr>
        <w:t xml:space="preserve"> </w:t>
      </w:r>
      <w:r w:rsidR="00ED233B" w:rsidRPr="00331A56">
        <w:rPr>
          <w:rFonts w:ascii="Times New Roman" w:hAnsi="Times New Roman"/>
          <w:sz w:val="24"/>
          <w:szCs w:val="24"/>
          <w:lang w:val="uk-UA"/>
        </w:rPr>
        <w:t>201</w:t>
      </w:r>
      <w:r w:rsidR="008B79B5">
        <w:rPr>
          <w:rFonts w:ascii="Times New Roman" w:hAnsi="Times New Roman"/>
          <w:sz w:val="24"/>
          <w:szCs w:val="24"/>
          <w:lang w:val="uk-UA"/>
        </w:rPr>
        <w:t>7</w:t>
      </w:r>
      <w:r w:rsidR="00ED233B" w:rsidRPr="00331A56">
        <w:rPr>
          <w:rFonts w:ascii="Times New Roman" w:hAnsi="Times New Roman"/>
          <w:sz w:val="24"/>
          <w:szCs w:val="24"/>
          <w:lang w:val="uk-UA"/>
        </w:rPr>
        <w:t xml:space="preserve"> році</w:t>
      </w:r>
      <w:r w:rsidRPr="00331A56">
        <w:rPr>
          <w:rFonts w:ascii="Times New Roman" w:hAnsi="Times New Roman"/>
          <w:sz w:val="24"/>
          <w:szCs w:val="24"/>
          <w:lang w:val="uk-UA"/>
        </w:rPr>
        <w:t xml:space="preserve"> на розгляді в Запорізькому окружному адмініс</w:t>
      </w:r>
      <w:r w:rsidR="005312F3" w:rsidRPr="00331A56">
        <w:rPr>
          <w:rFonts w:ascii="Times New Roman" w:hAnsi="Times New Roman"/>
          <w:sz w:val="24"/>
          <w:szCs w:val="24"/>
          <w:lang w:val="uk-UA"/>
        </w:rPr>
        <w:t xml:space="preserve">тративному суді перебувало </w:t>
      </w:r>
      <w:r w:rsidR="005E1F6C" w:rsidRPr="004A256F">
        <w:rPr>
          <w:rFonts w:ascii="Times New Roman" w:hAnsi="Times New Roman"/>
          <w:b/>
          <w:sz w:val="24"/>
          <w:szCs w:val="24"/>
          <w:lang w:val="uk-UA"/>
        </w:rPr>
        <w:t>4367</w:t>
      </w:r>
      <w:r w:rsidR="005E1F6C">
        <w:rPr>
          <w:rFonts w:ascii="Times New Roman" w:hAnsi="Times New Roman"/>
          <w:sz w:val="24"/>
          <w:szCs w:val="24"/>
          <w:lang w:val="uk-UA"/>
        </w:rPr>
        <w:t xml:space="preserve"> справ (на 9,2% більше </w:t>
      </w:r>
      <w:r w:rsidR="004A256F">
        <w:rPr>
          <w:rFonts w:ascii="Times New Roman" w:hAnsi="Times New Roman"/>
          <w:sz w:val="24"/>
          <w:szCs w:val="24"/>
          <w:lang w:val="uk-UA"/>
        </w:rPr>
        <w:t>ніж у 2016 році (3997)</w:t>
      </w:r>
      <w:r w:rsidR="005E1F6C">
        <w:rPr>
          <w:rFonts w:ascii="Times New Roman" w:hAnsi="Times New Roman"/>
          <w:sz w:val="24"/>
          <w:szCs w:val="24"/>
          <w:lang w:val="uk-UA"/>
        </w:rPr>
        <w:t>)</w:t>
      </w:r>
      <w:r w:rsidR="00FC08AA" w:rsidRPr="00331A56">
        <w:rPr>
          <w:rFonts w:ascii="Times New Roman" w:hAnsi="Times New Roman"/>
          <w:sz w:val="24"/>
          <w:szCs w:val="24"/>
          <w:lang w:val="uk-UA"/>
        </w:rPr>
        <w:t xml:space="preserve">, з яких </w:t>
      </w:r>
      <w:r w:rsidRPr="00331A56">
        <w:rPr>
          <w:rFonts w:ascii="Times New Roman" w:hAnsi="Times New Roman"/>
          <w:sz w:val="24"/>
          <w:szCs w:val="24"/>
          <w:lang w:val="uk-UA"/>
        </w:rPr>
        <w:t>залишок нерозглянутих справ на почато</w:t>
      </w:r>
      <w:r w:rsidR="005312F3" w:rsidRPr="00331A56">
        <w:rPr>
          <w:rFonts w:ascii="Times New Roman" w:hAnsi="Times New Roman"/>
          <w:sz w:val="24"/>
          <w:szCs w:val="24"/>
          <w:lang w:val="uk-UA"/>
        </w:rPr>
        <w:t xml:space="preserve">к звітного періоду становив </w:t>
      </w:r>
      <w:r w:rsidR="004A256F">
        <w:rPr>
          <w:rFonts w:ascii="Times New Roman" w:hAnsi="Times New Roman"/>
          <w:b/>
          <w:sz w:val="24"/>
          <w:szCs w:val="24"/>
          <w:lang w:val="uk-UA"/>
        </w:rPr>
        <w:t>785</w:t>
      </w:r>
      <w:r w:rsidR="00A002C7" w:rsidRPr="00331A56">
        <w:rPr>
          <w:rFonts w:ascii="Times New Roman" w:hAnsi="Times New Roman"/>
          <w:sz w:val="24"/>
          <w:szCs w:val="24"/>
          <w:lang w:val="uk-UA"/>
        </w:rPr>
        <w:t xml:space="preserve"> справ, та </w:t>
      </w:r>
      <w:r w:rsidR="004A256F" w:rsidRPr="004A256F">
        <w:rPr>
          <w:rFonts w:ascii="Times New Roman" w:hAnsi="Times New Roman"/>
          <w:b/>
          <w:sz w:val="24"/>
          <w:szCs w:val="24"/>
          <w:lang w:val="uk-UA"/>
        </w:rPr>
        <w:t>3582</w:t>
      </w:r>
      <w:r w:rsidR="00FC08AA" w:rsidRPr="00331A56">
        <w:rPr>
          <w:rFonts w:ascii="Times New Roman" w:hAnsi="Times New Roman"/>
          <w:sz w:val="24"/>
          <w:szCs w:val="24"/>
          <w:lang w:val="uk-UA"/>
        </w:rPr>
        <w:t xml:space="preserve"> справ</w:t>
      </w:r>
      <w:r w:rsidR="004A256F">
        <w:rPr>
          <w:rFonts w:ascii="Times New Roman" w:hAnsi="Times New Roman"/>
          <w:sz w:val="24"/>
          <w:szCs w:val="24"/>
          <w:lang w:val="uk-UA"/>
        </w:rPr>
        <w:t>и</w:t>
      </w:r>
      <w:r w:rsidR="00FC08AA" w:rsidRPr="00331A56">
        <w:rPr>
          <w:rFonts w:ascii="Times New Roman" w:hAnsi="Times New Roman"/>
          <w:sz w:val="24"/>
          <w:szCs w:val="24"/>
          <w:lang w:val="uk-UA"/>
        </w:rPr>
        <w:t xml:space="preserve"> надійшли на розгляд у </w:t>
      </w:r>
      <w:r w:rsidR="001E6AB3" w:rsidRPr="00331A56">
        <w:rPr>
          <w:rFonts w:ascii="Times New Roman" w:hAnsi="Times New Roman"/>
          <w:sz w:val="24"/>
          <w:szCs w:val="24"/>
          <w:lang w:val="uk-UA"/>
        </w:rPr>
        <w:t>з</w:t>
      </w:r>
      <w:r w:rsidR="00FC08AA" w:rsidRPr="00331A56">
        <w:rPr>
          <w:rFonts w:ascii="Times New Roman" w:hAnsi="Times New Roman"/>
          <w:sz w:val="24"/>
          <w:szCs w:val="24"/>
          <w:lang w:val="uk-UA"/>
        </w:rPr>
        <w:t xml:space="preserve">вітному </w:t>
      </w:r>
      <w:r w:rsidR="006B756C">
        <w:rPr>
          <w:rFonts w:ascii="Times New Roman" w:hAnsi="Times New Roman"/>
          <w:sz w:val="24"/>
          <w:szCs w:val="24"/>
          <w:lang w:val="uk-UA"/>
        </w:rPr>
        <w:t>періоді</w:t>
      </w:r>
      <w:r w:rsidR="004A256F">
        <w:rPr>
          <w:rFonts w:ascii="Times New Roman" w:hAnsi="Times New Roman"/>
          <w:sz w:val="24"/>
          <w:szCs w:val="24"/>
          <w:lang w:val="uk-UA"/>
        </w:rPr>
        <w:t>, що на 14,8% більше ніж у 2016 році (3120).</w:t>
      </w:r>
    </w:p>
    <w:p w:rsidR="00872196" w:rsidRPr="00331A56" w:rsidRDefault="00EB2EB2" w:rsidP="00872196">
      <w:pPr>
        <w:spacing w:after="0" w:line="240" w:lineRule="auto"/>
        <w:jc w:val="center"/>
        <w:rPr>
          <w:rFonts w:ascii="Times New Roman" w:hAnsi="Times New Roman" w:cs="Times New Roman"/>
          <w:sz w:val="24"/>
          <w:szCs w:val="24"/>
          <w:lang w:val="uk-UA"/>
        </w:rPr>
      </w:pPr>
      <w:r w:rsidRPr="00331A56">
        <w:rPr>
          <w:rFonts w:ascii="Times New Roman" w:hAnsi="Times New Roman" w:cs="Times New Roman"/>
          <w:noProof/>
          <w:sz w:val="24"/>
          <w:szCs w:val="24"/>
        </w:rPr>
        <w:lastRenderedPageBreak/>
        <w:drawing>
          <wp:inline distT="0" distB="0" distL="0" distR="0">
            <wp:extent cx="5897218" cy="2283736"/>
            <wp:effectExtent l="0" t="0" r="0" b="0"/>
            <wp:docPr id="10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1F1C" w:rsidRDefault="003B0795" w:rsidP="00C62AD1">
      <w:pPr>
        <w:spacing w:after="0" w:line="240" w:lineRule="auto"/>
        <w:jc w:val="both"/>
        <w:rPr>
          <w:rFonts w:ascii="Times New Roman" w:hAnsi="Times New Roman" w:cs="Times New Roman"/>
          <w:sz w:val="24"/>
          <w:szCs w:val="24"/>
          <w:lang w:val="uk-UA"/>
        </w:rPr>
      </w:pPr>
      <w:r w:rsidRPr="00331A56">
        <w:rPr>
          <w:rFonts w:ascii="Times New Roman" w:hAnsi="Times New Roman" w:cs="Times New Roman"/>
          <w:sz w:val="24"/>
          <w:szCs w:val="24"/>
          <w:lang w:val="uk-UA"/>
        </w:rPr>
        <w:tab/>
      </w:r>
      <w:r w:rsidR="00241F1C">
        <w:rPr>
          <w:rFonts w:ascii="Times New Roman" w:hAnsi="Times New Roman" w:cs="Times New Roman"/>
          <w:sz w:val="24"/>
          <w:szCs w:val="24"/>
          <w:lang w:val="uk-UA"/>
        </w:rPr>
        <w:t xml:space="preserve"> </w:t>
      </w:r>
    </w:p>
    <w:p w:rsidR="00872196" w:rsidRPr="00331A56" w:rsidRDefault="006D4FA9" w:rsidP="008E698E">
      <w:pPr>
        <w:spacing w:after="0" w:line="240" w:lineRule="auto"/>
        <w:ind w:firstLine="708"/>
        <w:jc w:val="both"/>
        <w:rPr>
          <w:rFonts w:ascii="Times New Roman" w:hAnsi="Times New Roman"/>
          <w:sz w:val="24"/>
          <w:szCs w:val="24"/>
          <w:lang w:val="uk-UA"/>
        </w:rPr>
      </w:pPr>
      <w:r w:rsidRPr="00331A56">
        <w:rPr>
          <w:rFonts w:ascii="Times New Roman" w:hAnsi="Times New Roman"/>
          <w:sz w:val="24"/>
          <w:szCs w:val="24"/>
          <w:lang w:val="uk-UA"/>
        </w:rPr>
        <w:t>Зі</w:t>
      </w:r>
      <w:r w:rsidR="00872196" w:rsidRPr="00331A56">
        <w:rPr>
          <w:rFonts w:ascii="Times New Roman" w:hAnsi="Times New Roman"/>
          <w:sz w:val="24"/>
          <w:szCs w:val="24"/>
          <w:lang w:val="uk-UA"/>
        </w:rPr>
        <w:t xml:space="preserve"> справ, що перебували на розгляді у</w:t>
      </w:r>
      <w:r w:rsidRPr="00331A56">
        <w:rPr>
          <w:rFonts w:ascii="Times New Roman" w:hAnsi="Times New Roman"/>
          <w:sz w:val="24"/>
          <w:szCs w:val="24"/>
          <w:lang w:val="uk-UA"/>
        </w:rPr>
        <w:t xml:space="preserve"> 201</w:t>
      </w:r>
      <w:r w:rsidR="008E698E">
        <w:rPr>
          <w:rFonts w:ascii="Times New Roman" w:hAnsi="Times New Roman"/>
          <w:sz w:val="24"/>
          <w:szCs w:val="24"/>
          <w:lang w:val="uk-UA"/>
        </w:rPr>
        <w:t>7</w:t>
      </w:r>
      <w:r w:rsidRPr="00331A56">
        <w:rPr>
          <w:rFonts w:ascii="Times New Roman" w:hAnsi="Times New Roman"/>
          <w:sz w:val="24"/>
          <w:szCs w:val="24"/>
          <w:lang w:val="uk-UA"/>
        </w:rPr>
        <w:t xml:space="preserve"> році</w:t>
      </w:r>
      <w:r w:rsidR="00872196" w:rsidRPr="00331A56">
        <w:rPr>
          <w:rFonts w:ascii="Times New Roman" w:hAnsi="Times New Roman"/>
          <w:sz w:val="24"/>
          <w:szCs w:val="24"/>
          <w:lang w:val="uk-UA"/>
        </w:rPr>
        <w:t xml:space="preserve">, провадження </w:t>
      </w:r>
      <w:r w:rsidR="006E047E" w:rsidRPr="00331A56">
        <w:rPr>
          <w:rFonts w:ascii="Times New Roman" w:hAnsi="Times New Roman"/>
          <w:sz w:val="24"/>
          <w:szCs w:val="24"/>
          <w:lang w:val="uk-UA"/>
        </w:rPr>
        <w:t xml:space="preserve">було закінчено по </w:t>
      </w:r>
      <w:r w:rsidR="008E698E" w:rsidRPr="008E698E">
        <w:rPr>
          <w:rFonts w:ascii="Times New Roman" w:hAnsi="Times New Roman"/>
          <w:b/>
          <w:sz w:val="24"/>
          <w:szCs w:val="24"/>
          <w:lang w:val="uk-UA"/>
        </w:rPr>
        <w:t>3463</w:t>
      </w:r>
      <w:r w:rsidR="00872196" w:rsidRPr="0030182D">
        <w:rPr>
          <w:rFonts w:ascii="Times New Roman" w:hAnsi="Times New Roman"/>
          <w:sz w:val="24"/>
          <w:szCs w:val="24"/>
          <w:lang w:val="uk-UA"/>
        </w:rPr>
        <w:t xml:space="preserve"> справа</w:t>
      </w:r>
      <w:r w:rsidR="00EF57FE" w:rsidRPr="0030182D">
        <w:rPr>
          <w:rFonts w:ascii="Times New Roman" w:hAnsi="Times New Roman"/>
          <w:sz w:val="24"/>
          <w:szCs w:val="24"/>
          <w:lang w:val="uk-UA"/>
        </w:rPr>
        <w:t>м</w:t>
      </w:r>
      <w:r w:rsidR="00872196" w:rsidRPr="00331A56">
        <w:rPr>
          <w:rFonts w:ascii="Times New Roman" w:hAnsi="Times New Roman"/>
          <w:sz w:val="24"/>
          <w:szCs w:val="24"/>
          <w:lang w:val="uk-UA"/>
        </w:rPr>
        <w:t>, а саме:</w:t>
      </w:r>
    </w:p>
    <w:p w:rsidR="00024F28" w:rsidRDefault="00872196" w:rsidP="006D4FA9">
      <w:pPr>
        <w:pStyle w:val="a3"/>
        <w:numPr>
          <w:ilvl w:val="0"/>
          <w:numId w:val="1"/>
        </w:numPr>
        <w:tabs>
          <w:tab w:val="left" w:pos="993"/>
        </w:tabs>
        <w:spacing w:after="0" w:line="240" w:lineRule="auto"/>
        <w:ind w:left="0" w:right="-1" w:firstLine="709"/>
        <w:jc w:val="both"/>
        <w:rPr>
          <w:rFonts w:ascii="Times New Roman" w:hAnsi="Times New Roman"/>
          <w:sz w:val="24"/>
          <w:szCs w:val="24"/>
        </w:rPr>
      </w:pPr>
      <w:r w:rsidRPr="001A627A">
        <w:rPr>
          <w:rFonts w:ascii="Times New Roman" w:hAnsi="Times New Roman"/>
          <w:sz w:val="24"/>
          <w:szCs w:val="24"/>
        </w:rPr>
        <w:t xml:space="preserve">по </w:t>
      </w:r>
      <w:r w:rsidR="00334371">
        <w:rPr>
          <w:rFonts w:ascii="Times New Roman" w:hAnsi="Times New Roman"/>
          <w:b/>
          <w:sz w:val="24"/>
          <w:szCs w:val="24"/>
        </w:rPr>
        <w:t>3071</w:t>
      </w:r>
      <w:r w:rsidR="00705180">
        <w:rPr>
          <w:rFonts w:ascii="Times New Roman" w:hAnsi="Times New Roman"/>
          <w:sz w:val="24"/>
          <w:szCs w:val="24"/>
        </w:rPr>
        <w:t xml:space="preserve"> </w:t>
      </w:r>
      <w:r w:rsidRPr="001A627A">
        <w:rPr>
          <w:rFonts w:ascii="Times New Roman" w:hAnsi="Times New Roman"/>
          <w:sz w:val="24"/>
          <w:szCs w:val="24"/>
        </w:rPr>
        <w:t>справ</w:t>
      </w:r>
      <w:r w:rsidR="00334371">
        <w:rPr>
          <w:rFonts w:ascii="Times New Roman" w:hAnsi="Times New Roman"/>
          <w:sz w:val="24"/>
          <w:szCs w:val="24"/>
        </w:rPr>
        <w:t>і</w:t>
      </w:r>
      <w:r w:rsidRPr="001A627A">
        <w:rPr>
          <w:rFonts w:ascii="Times New Roman" w:hAnsi="Times New Roman"/>
          <w:sz w:val="24"/>
          <w:szCs w:val="24"/>
        </w:rPr>
        <w:t xml:space="preserve"> провадження закінчене з прийняттям поста</w:t>
      </w:r>
      <w:r w:rsidR="00406240" w:rsidRPr="001A627A">
        <w:rPr>
          <w:rFonts w:ascii="Times New Roman" w:hAnsi="Times New Roman"/>
          <w:sz w:val="24"/>
          <w:szCs w:val="24"/>
        </w:rPr>
        <w:t>нови</w:t>
      </w:r>
      <w:r w:rsidR="0030182D">
        <w:rPr>
          <w:rFonts w:ascii="Times New Roman" w:hAnsi="Times New Roman"/>
          <w:sz w:val="24"/>
          <w:szCs w:val="24"/>
        </w:rPr>
        <w:t xml:space="preserve"> </w:t>
      </w:r>
      <w:r w:rsidR="00BB4399" w:rsidRPr="001A627A">
        <w:rPr>
          <w:rFonts w:ascii="Times New Roman" w:hAnsi="Times New Roman"/>
          <w:sz w:val="24"/>
          <w:szCs w:val="24"/>
        </w:rPr>
        <w:t>(</w:t>
      </w:r>
      <w:r w:rsidR="00763D18" w:rsidRPr="00763D18">
        <w:rPr>
          <w:rFonts w:ascii="Times New Roman" w:hAnsi="Times New Roman"/>
          <w:b/>
          <w:sz w:val="24"/>
          <w:szCs w:val="24"/>
        </w:rPr>
        <w:t>88,7%</w:t>
      </w:r>
      <w:r w:rsidR="00763D18">
        <w:rPr>
          <w:rFonts w:ascii="Times New Roman" w:hAnsi="Times New Roman"/>
          <w:sz w:val="24"/>
          <w:szCs w:val="24"/>
        </w:rPr>
        <w:t xml:space="preserve">  </w:t>
      </w:r>
      <w:r w:rsidR="00763D18" w:rsidRPr="001A627A">
        <w:rPr>
          <w:rFonts w:ascii="Times New Roman" w:hAnsi="Times New Roman"/>
          <w:sz w:val="24"/>
          <w:szCs w:val="24"/>
        </w:rPr>
        <w:t>від загальної кількості розглянутих справ у 201</w:t>
      </w:r>
      <w:r w:rsidR="00763D18">
        <w:rPr>
          <w:rFonts w:ascii="Times New Roman" w:hAnsi="Times New Roman"/>
          <w:sz w:val="24"/>
          <w:szCs w:val="24"/>
        </w:rPr>
        <w:t xml:space="preserve">7, та на </w:t>
      </w:r>
      <w:r w:rsidR="00763D18" w:rsidRPr="00763D18">
        <w:rPr>
          <w:rFonts w:ascii="Times New Roman" w:hAnsi="Times New Roman"/>
          <w:b/>
          <w:sz w:val="24"/>
          <w:szCs w:val="24"/>
        </w:rPr>
        <w:t>8,5</w:t>
      </w:r>
      <w:r w:rsidR="00BB4399" w:rsidRPr="00763D18">
        <w:rPr>
          <w:rFonts w:ascii="Times New Roman" w:hAnsi="Times New Roman"/>
          <w:b/>
          <w:sz w:val="24"/>
          <w:szCs w:val="24"/>
        </w:rPr>
        <w:t>%</w:t>
      </w:r>
      <w:r w:rsidR="00BB4399" w:rsidRPr="001A627A">
        <w:rPr>
          <w:rFonts w:ascii="Times New Roman" w:hAnsi="Times New Roman"/>
          <w:sz w:val="24"/>
          <w:szCs w:val="24"/>
        </w:rPr>
        <w:t xml:space="preserve"> </w:t>
      </w:r>
      <w:r w:rsidR="00AE009E">
        <w:rPr>
          <w:rFonts w:ascii="Times New Roman" w:hAnsi="Times New Roman"/>
          <w:sz w:val="24"/>
          <w:szCs w:val="24"/>
        </w:rPr>
        <w:t xml:space="preserve">більше ніж у </w:t>
      </w:r>
      <w:r w:rsidR="00BB4399" w:rsidRPr="001A627A">
        <w:rPr>
          <w:rFonts w:ascii="Times New Roman" w:hAnsi="Times New Roman"/>
          <w:sz w:val="24"/>
          <w:szCs w:val="24"/>
        </w:rPr>
        <w:t>201</w:t>
      </w:r>
      <w:r w:rsidR="00705180">
        <w:rPr>
          <w:rFonts w:ascii="Times New Roman" w:hAnsi="Times New Roman"/>
          <w:sz w:val="24"/>
          <w:szCs w:val="24"/>
        </w:rPr>
        <w:t>6</w:t>
      </w:r>
      <w:r w:rsidR="00BB4399" w:rsidRPr="001A627A">
        <w:rPr>
          <w:rFonts w:ascii="Times New Roman" w:hAnsi="Times New Roman"/>
          <w:sz w:val="24"/>
          <w:szCs w:val="24"/>
        </w:rPr>
        <w:t xml:space="preserve"> році</w:t>
      </w:r>
      <w:r w:rsidR="00AE009E">
        <w:rPr>
          <w:rFonts w:ascii="Times New Roman" w:hAnsi="Times New Roman"/>
          <w:sz w:val="24"/>
          <w:szCs w:val="24"/>
        </w:rPr>
        <w:t xml:space="preserve"> (</w:t>
      </w:r>
      <w:r w:rsidR="00334371" w:rsidRPr="00AE009E">
        <w:rPr>
          <w:rFonts w:ascii="Times New Roman" w:hAnsi="Times New Roman"/>
          <w:sz w:val="24"/>
          <w:szCs w:val="24"/>
        </w:rPr>
        <w:t>2813</w:t>
      </w:r>
      <w:r w:rsidR="00AE009E">
        <w:rPr>
          <w:rFonts w:ascii="Times New Roman" w:hAnsi="Times New Roman"/>
          <w:sz w:val="24"/>
          <w:szCs w:val="24"/>
        </w:rPr>
        <w:t>)</w:t>
      </w:r>
      <w:r w:rsidR="00BB4399" w:rsidRPr="001A627A">
        <w:rPr>
          <w:rFonts w:ascii="Times New Roman" w:hAnsi="Times New Roman"/>
          <w:sz w:val="24"/>
          <w:szCs w:val="24"/>
        </w:rPr>
        <w:t>)</w:t>
      </w:r>
      <w:r w:rsidR="00024F28">
        <w:rPr>
          <w:rFonts w:ascii="Times New Roman" w:hAnsi="Times New Roman"/>
          <w:sz w:val="24"/>
          <w:szCs w:val="24"/>
        </w:rPr>
        <w:t>;</w:t>
      </w:r>
    </w:p>
    <w:p w:rsidR="00872196" w:rsidRPr="001A627A" w:rsidRDefault="00406240" w:rsidP="006D4FA9">
      <w:pPr>
        <w:pStyle w:val="a3"/>
        <w:numPr>
          <w:ilvl w:val="0"/>
          <w:numId w:val="1"/>
        </w:numPr>
        <w:tabs>
          <w:tab w:val="left" w:pos="993"/>
        </w:tabs>
        <w:spacing w:after="0" w:line="240" w:lineRule="auto"/>
        <w:ind w:left="0" w:right="-1" w:firstLine="709"/>
        <w:jc w:val="both"/>
        <w:rPr>
          <w:rFonts w:ascii="Times New Roman" w:hAnsi="Times New Roman"/>
          <w:sz w:val="24"/>
          <w:szCs w:val="24"/>
        </w:rPr>
      </w:pPr>
      <w:r w:rsidRPr="001A627A">
        <w:rPr>
          <w:rFonts w:ascii="Times New Roman" w:hAnsi="Times New Roman"/>
          <w:sz w:val="24"/>
          <w:szCs w:val="24"/>
        </w:rPr>
        <w:t xml:space="preserve">прийнято </w:t>
      </w:r>
      <w:r w:rsidR="00AE009E">
        <w:rPr>
          <w:rFonts w:ascii="Times New Roman" w:hAnsi="Times New Roman"/>
          <w:b/>
          <w:sz w:val="24"/>
          <w:szCs w:val="24"/>
        </w:rPr>
        <w:t>2576</w:t>
      </w:r>
      <w:r w:rsidR="00EF57FE" w:rsidRPr="001A627A">
        <w:rPr>
          <w:rFonts w:ascii="Times New Roman" w:hAnsi="Times New Roman"/>
          <w:sz w:val="24"/>
          <w:szCs w:val="24"/>
        </w:rPr>
        <w:t xml:space="preserve"> </w:t>
      </w:r>
      <w:r w:rsidRPr="001A627A">
        <w:rPr>
          <w:rFonts w:ascii="Times New Roman" w:hAnsi="Times New Roman"/>
          <w:sz w:val="24"/>
          <w:szCs w:val="24"/>
        </w:rPr>
        <w:t>постанов</w:t>
      </w:r>
      <w:r w:rsidR="00872196" w:rsidRPr="001A627A">
        <w:rPr>
          <w:rFonts w:ascii="Times New Roman" w:hAnsi="Times New Roman"/>
          <w:sz w:val="24"/>
          <w:szCs w:val="24"/>
        </w:rPr>
        <w:t xml:space="preserve"> про задоволення позову (</w:t>
      </w:r>
      <w:r w:rsidR="00705180" w:rsidRPr="00D86467">
        <w:rPr>
          <w:rFonts w:ascii="Times New Roman" w:hAnsi="Times New Roman"/>
          <w:b/>
          <w:sz w:val="24"/>
          <w:szCs w:val="24"/>
        </w:rPr>
        <w:t>8</w:t>
      </w:r>
      <w:r w:rsidR="00AE009E">
        <w:rPr>
          <w:rFonts w:ascii="Times New Roman" w:hAnsi="Times New Roman"/>
          <w:b/>
          <w:sz w:val="24"/>
          <w:szCs w:val="24"/>
        </w:rPr>
        <w:t>3</w:t>
      </w:r>
      <w:r w:rsidR="00705180" w:rsidRPr="00D86467">
        <w:rPr>
          <w:rFonts w:ascii="Times New Roman" w:hAnsi="Times New Roman"/>
          <w:b/>
          <w:sz w:val="24"/>
          <w:szCs w:val="24"/>
        </w:rPr>
        <w:t>,</w:t>
      </w:r>
      <w:r w:rsidR="00AE009E">
        <w:rPr>
          <w:rFonts w:ascii="Times New Roman" w:hAnsi="Times New Roman"/>
          <w:b/>
          <w:sz w:val="24"/>
          <w:szCs w:val="24"/>
        </w:rPr>
        <w:t>9</w:t>
      </w:r>
      <w:r w:rsidR="00872196" w:rsidRPr="001A627A">
        <w:rPr>
          <w:rFonts w:ascii="Times New Roman" w:hAnsi="Times New Roman"/>
          <w:sz w:val="24"/>
          <w:szCs w:val="24"/>
        </w:rPr>
        <w:t>% від загальної кількості постанов, що винесен</w:t>
      </w:r>
      <w:r w:rsidR="001E6AB3" w:rsidRPr="001A627A">
        <w:rPr>
          <w:rFonts w:ascii="Times New Roman" w:hAnsi="Times New Roman"/>
          <w:sz w:val="24"/>
          <w:szCs w:val="24"/>
        </w:rPr>
        <w:t>і</w:t>
      </w:r>
      <w:r w:rsidR="00872196" w:rsidRPr="001A627A">
        <w:rPr>
          <w:rFonts w:ascii="Times New Roman" w:hAnsi="Times New Roman"/>
          <w:sz w:val="24"/>
          <w:szCs w:val="24"/>
        </w:rPr>
        <w:t xml:space="preserve"> суддями </w:t>
      </w:r>
      <w:r w:rsidR="006D2FE2" w:rsidRPr="001A627A">
        <w:rPr>
          <w:rFonts w:ascii="Times New Roman" w:hAnsi="Times New Roman"/>
          <w:sz w:val="24"/>
          <w:szCs w:val="24"/>
        </w:rPr>
        <w:t xml:space="preserve">у </w:t>
      </w:r>
      <w:r w:rsidRPr="001A627A">
        <w:rPr>
          <w:rFonts w:ascii="Times New Roman" w:hAnsi="Times New Roman"/>
          <w:sz w:val="24"/>
          <w:szCs w:val="24"/>
        </w:rPr>
        <w:t>201</w:t>
      </w:r>
      <w:r w:rsidR="00AE009E">
        <w:rPr>
          <w:rFonts w:ascii="Times New Roman" w:hAnsi="Times New Roman"/>
          <w:sz w:val="24"/>
          <w:szCs w:val="24"/>
        </w:rPr>
        <w:t>7</w:t>
      </w:r>
      <w:r w:rsidRPr="001A627A">
        <w:rPr>
          <w:rFonts w:ascii="Times New Roman" w:hAnsi="Times New Roman"/>
          <w:sz w:val="24"/>
          <w:szCs w:val="24"/>
        </w:rPr>
        <w:t xml:space="preserve"> ро</w:t>
      </w:r>
      <w:r w:rsidR="006D2FE2" w:rsidRPr="001A627A">
        <w:rPr>
          <w:rFonts w:ascii="Times New Roman" w:hAnsi="Times New Roman"/>
          <w:sz w:val="24"/>
          <w:szCs w:val="24"/>
        </w:rPr>
        <w:t>ці</w:t>
      </w:r>
      <w:r w:rsidR="005C5490">
        <w:rPr>
          <w:rFonts w:ascii="Times New Roman" w:hAnsi="Times New Roman"/>
          <w:sz w:val="24"/>
          <w:szCs w:val="24"/>
        </w:rPr>
        <w:t>, та на</w:t>
      </w:r>
      <w:r w:rsidR="00024F28">
        <w:rPr>
          <w:rFonts w:ascii="Times New Roman" w:hAnsi="Times New Roman"/>
          <w:sz w:val="24"/>
          <w:szCs w:val="24"/>
        </w:rPr>
        <w:t xml:space="preserve"> </w:t>
      </w:r>
      <w:r w:rsidR="00024F28" w:rsidRPr="00024F28">
        <w:rPr>
          <w:rFonts w:ascii="Times New Roman" w:hAnsi="Times New Roman"/>
          <w:b/>
          <w:sz w:val="24"/>
          <w:szCs w:val="24"/>
        </w:rPr>
        <w:t>91,6%</w:t>
      </w:r>
      <w:r w:rsidR="00024F28">
        <w:rPr>
          <w:rFonts w:ascii="Times New Roman" w:hAnsi="Times New Roman"/>
          <w:sz w:val="24"/>
          <w:szCs w:val="24"/>
        </w:rPr>
        <w:t xml:space="preserve"> більше ніж у 2016 році (2813)</w:t>
      </w:r>
      <w:r w:rsidR="005C5490">
        <w:rPr>
          <w:rFonts w:ascii="Times New Roman" w:hAnsi="Times New Roman"/>
          <w:sz w:val="24"/>
          <w:szCs w:val="24"/>
        </w:rPr>
        <w:t xml:space="preserve"> </w:t>
      </w:r>
      <w:r w:rsidR="00872196" w:rsidRPr="001A627A">
        <w:rPr>
          <w:rFonts w:ascii="Times New Roman" w:hAnsi="Times New Roman"/>
          <w:sz w:val="24"/>
          <w:szCs w:val="24"/>
        </w:rPr>
        <w:t>);</w:t>
      </w:r>
    </w:p>
    <w:p w:rsidR="00872196" w:rsidRPr="00331A56" w:rsidRDefault="004D03C6" w:rsidP="006D4FA9">
      <w:pPr>
        <w:pStyle w:val="a3"/>
        <w:numPr>
          <w:ilvl w:val="0"/>
          <w:numId w:val="1"/>
        </w:numPr>
        <w:tabs>
          <w:tab w:val="left" w:pos="567"/>
          <w:tab w:val="left" w:pos="993"/>
        </w:tabs>
        <w:spacing w:after="0" w:line="240" w:lineRule="auto"/>
        <w:ind w:left="0" w:right="-1" w:firstLine="709"/>
        <w:jc w:val="both"/>
        <w:rPr>
          <w:rFonts w:ascii="Times New Roman" w:hAnsi="Times New Roman"/>
          <w:sz w:val="24"/>
          <w:szCs w:val="24"/>
        </w:rPr>
      </w:pPr>
      <w:r>
        <w:rPr>
          <w:rFonts w:ascii="Times New Roman" w:hAnsi="Times New Roman"/>
          <w:sz w:val="24"/>
          <w:szCs w:val="24"/>
        </w:rPr>
        <w:t>13</w:t>
      </w:r>
      <w:r w:rsidR="00406240" w:rsidRPr="00331A56">
        <w:rPr>
          <w:rFonts w:ascii="Times New Roman" w:hAnsi="Times New Roman"/>
          <w:sz w:val="24"/>
          <w:szCs w:val="24"/>
        </w:rPr>
        <w:t xml:space="preserve"> справ</w:t>
      </w:r>
      <w:r w:rsidR="00872196" w:rsidRPr="00331A56">
        <w:rPr>
          <w:rFonts w:ascii="Times New Roman" w:hAnsi="Times New Roman"/>
          <w:sz w:val="24"/>
          <w:szCs w:val="24"/>
        </w:rPr>
        <w:t xml:space="preserve"> </w:t>
      </w:r>
      <w:r w:rsidR="00724436">
        <w:rPr>
          <w:rFonts w:ascii="Times New Roman" w:hAnsi="Times New Roman"/>
          <w:sz w:val="24"/>
          <w:szCs w:val="24"/>
        </w:rPr>
        <w:t>розглянуті</w:t>
      </w:r>
      <w:r w:rsidR="00872196" w:rsidRPr="00331A56">
        <w:rPr>
          <w:rFonts w:ascii="Times New Roman" w:hAnsi="Times New Roman"/>
          <w:sz w:val="24"/>
          <w:szCs w:val="24"/>
        </w:rPr>
        <w:t xml:space="preserve"> із постановленням ухвали про передачу справ</w:t>
      </w:r>
      <w:r w:rsidR="00406240" w:rsidRPr="00331A56">
        <w:rPr>
          <w:rFonts w:ascii="Times New Roman" w:hAnsi="Times New Roman"/>
          <w:sz w:val="24"/>
          <w:szCs w:val="24"/>
        </w:rPr>
        <w:t>и</w:t>
      </w:r>
      <w:r w:rsidR="00872196" w:rsidRPr="00331A56">
        <w:rPr>
          <w:rFonts w:ascii="Times New Roman" w:hAnsi="Times New Roman"/>
          <w:sz w:val="24"/>
          <w:szCs w:val="24"/>
        </w:rPr>
        <w:t xml:space="preserve"> до інш</w:t>
      </w:r>
      <w:r w:rsidR="00406240" w:rsidRPr="00331A56">
        <w:rPr>
          <w:rFonts w:ascii="Times New Roman" w:hAnsi="Times New Roman"/>
          <w:sz w:val="24"/>
          <w:szCs w:val="24"/>
        </w:rPr>
        <w:t>ого</w:t>
      </w:r>
      <w:r w:rsidR="00872196" w:rsidRPr="00331A56">
        <w:rPr>
          <w:rFonts w:ascii="Times New Roman" w:hAnsi="Times New Roman"/>
          <w:sz w:val="24"/>
          <w:szCs w:val="24"/>
        </w:rPr>
        <w:t xml:space="preserve"> суд</w:t>
      </w:r>
      <w:r w:rsidR="00406240" w:rsidRPr="00331A56">
        <w:rPr>
          <w:rFonts w:ascii="Times New Roman" w:hAnsi="Times New Roman"/>
          <w:sz w:val="24"/>
          <w:szCs w:val="24"/>
        </w:rPr>
        <w:t>у</w:t>
      </w:r>
      <w:r w:rsidR="00872196" w:rsidRPr="00331A56">
        <w:rPr>
          <w:rFonts w:ascii="Times New Roman" w:hAnsi="Times New Roman"/>
          <w:sz w:val="24"/>
          <w:szCs w:val="24"/>
        </w:rPr>
        <w:t>;</w:t>
      </w:r>
    </w:p>
    <w:p w:rsidR="00872196" w:rsidRPr="00331A56" w:rsidRDefault="004D03C6" w:rsidP="006D4FA9">
      <w:pPr>
        <w:pStyle w:val="a3"/>
        <w:numPr>
          <w:ilvl w:val="0"/>
          <w:numId w:val="1"/>
        </w:numPr>
        <w:tabs>
          <w:tab w:val="left" w:pos="567"/>
          <w:tab w:val="left" w:pos="993"/>
        </w:tabs>
        <w:spacing w:after="0" w:line="240" w:lineRule="auto"/>
        <w:ind w:left="0" w:right="-1" w:firstLine="709"/>
        <w:jc w:val="both"/>
        <w:rPr>
          <w:rFonts w:ascii="Times New Roman" w:hAnsi="Times New Roman"/>
          <w:sz w:val="24"/>
          <w:szCs w:val="24"/>
        </w:rPr>
      </w:pPr>
      <w:r>
        <w:rPr>
          <w:rFonts w:ascii="Times New Roman" w:hAnsi="Times New Roman"/>
          <w:sz w:val="24"/>
          <w:szCs w:val="24"/>
        </w:rPr>
        <w:t>128</w:t>
      </w:r>
      <w:r w:rsidR="00872196" w:rsidRPr="00331A56">
        <w:rPr>
          <w:rFonts w:ascii="Times New Roman" w:hAnsi="Times New Roman"/>
          <w:sz w:val="24"/>
          <w:szCs w:val="24"/>
        </w:rPr>
        <w:t xml:space="preserve"> – із постановленням ухвали про закриття провадження у справі;</w:t>
      </w:r>
    </w:p>
    <w:p w:rsidR="00872196" w:rsidRDefault="004D03C6" w:rsidP="006D4FA9">
      <w:pPr>
        <w:pStyle w:val="a3"/>
        <w:numPr>
          <w:ilvl w:val="0"/>
          <w:numId w:val="1"/>
        </w:numPr>
        <w:tabs>
          <w:tab w:val="left" w:pos="567"/>
          <w:tab w:val="left" w:pos="993"/>
        </w:tabs>
        <w:spacing w:after="0" w:line="240" w:lineRule="auto"/>
        <w:ind w:left="0" w:right="-1" w:firstLine="709"/>
        <w:jc w:val="both"/>
        <w:rPr>
          <w:rFonts w:ascii="Times New Roman" w:hAnsi="Times New Roman"/>
          <w:sz w:val="24"/>
          <w:szCs w:val="24"/>
        </w:rPr>
      </w:pPr>
      <w:r>
        <w:rPr>
          <w:rFonts w:ascii="Times New Roman" w:hAnsi="Times New Roman"/>
          <w:sz w:val="24"/>
          <w:szCs w:val="24"/>
        </w:rPr>
        <w:t>251</w:t>
      </w:r>
      <w:r w:rsidR="00872196" w:rsidRPr="00331A56">
        <w:rPr>
          <w:rFonts w:ascii="Times New Roman" w:hAnsi="Times New Roman"/>
          <w:sz w:val="24"/>
          <w:szCs w:val="24"/>
        </w:rPr>
        <w:t xml:space="preserve"> – із постановленням ухвали про залишення заяви без розгляду.</w:t>
      </w:r>
    </w:p>
    <w:p w:rsidR="00C76DDF" w:rsidRDefault="00063830" w:rsidP="00147EEC">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734</w:t>
      </w:r>
      <w:r w:rsidR="00705180">
        <w:rPr>
          <w:rFonts w:ascii="Times New Roman" w:hAnsi="Times New Roman"/>
          <w:sz w:val="24"/>
          <w:szCs w:val="24"/>
        </w:rPr>
        <w:t xml:space="preserve"> </w:t>
      </w:r>
      <w:r w:rsidR="00C76DDF" w:rsidRPr="00001A95">
        <w:rPr>
          <w:rFonts w:ascii="Times New Roman" w:hAnsi="Times New Roman"/>
          <w:sz w:val="24"/>
          <w:szCs w:val="24"/>
        </w:rPr>
        <w:t>адміністративн</w:t>
      </w:r>
      <w:r>
        <w:rPr>
          <w:rFonts w:ascii="Times New Roman" w:hAnsi="Times New Roman"/>
          <w:sz w:val="24"/>
          <w:szCs w:val="24"/>
        </w:rPr>
        <w:t>і</w:t>
      </w:r>
      <w:r w:rsidR="00C76DDF" w:rsidRPr="00001A95">
        <w:rPr>
          <w:rFonts w:ascii="Times New Roman" w:hAnsi="Times New Roman"/>
          <w:sz w:val="24"/>
          <w:szCs w:val="24"/>
        </w:rPr>
        <w:t xml:space="preserve"> справ</w:t>
      </w:r>
      <w:r>
        <w:rPr>
          <w:rFonts w:ascii="Times New Roman" w:hAnsi="Times New Roman"/>
          <w:sz w:val="24"/>
          <w:szCs w:val="24"/>
        </w:rPr>
        <w:t>и</w:t>
      </w:r>
      <w:r w:rsidR="00C76DDF" w:rsidRPr="00001A95">
        <w:rPr>
          <w:rFonts w:ascii="Times New Roman" w:hAnsi="Times New Roman"/>
          <w:sz w:val="24"/>
          <w:szCs w:val="24"/>
        </w:rPr>
        <w:t xml:space="preserve"> розглянут</w:t>
      </w:r>
      <w:r>
        <w:rPr>
          <w:rFonts w:ascii="Times New Roman" w:hAnsi="Times New Roman"/>
          <w:sz w:val="24"/>
          <w:szCs w:val="24"/>
        </w:rPr>
        <w:t>і</w:t>
      </w:r>
      <w:r w:rsidR="00C76DDF" w:rsidRPr="00001A95">
        <w:rPr>
          <w:rFonts w:ascii="Times New Roman" w:hAnsi="Times New Roman"/>
          <w:sz w:val="24"/>
          <w:szCs w:val="24"/>
        </w:rPr>
        <w:t xml:space="preserve"> із фіксуванням судового процесу технічними засобами, </w:t>
      </w:r>
      <w:r>
        <w:rPr>
          <w:rFonts w:ascii="Times New Roman" w:hAnsi="Times New Roman"/>
          <w:sz w:val="24"/>
          <w:szCs w:val="24"/>
        </w:rPr>
        <w:t>949</w:t>
      </w:r>
      <w:r w:rsidR="00C76DDF" w:rsidRPr="00001A95">
        <w:rPr>
          <w:rFonts w:ascii="Times New Roman" w:hAnsi="Times New Roman"/>
          <w:sz w:val="24"/>
          <w:szCs w:val="24"/>
        </w:rPr>
        <w:t xml:space="preserve"> справ розглянут</w:t>
      </w:r>
      <w:r w:rsidR="00705180">
        <w:rPr>
          <w:rFonts w:ascii="Times New Roman" w:hAnsi="Times New Roman"/>
          <w:sz w:val="24"/>
          <w:szCs w:val="24"/>
        </w:rPr>
        <w:t>о</w:t>
      </w:r>
      <w:r w:rsidR="00C76DDF" w:rsidRPr="00001A95">
        <w:rPr>
          <w:rFonts w:ascii="Times New Roman" w:hAnsi="Times New Roman"/>
          <w:sz w:val="24"/>
          <w:szCs w:val="24"/>
        </w:rPr>
        <w:t xml:space="preserve"> у порядку письмового провадження, </w:t>
      </w:r>
      <w:r w:rsidR="003D3AC2">
        <w:rPr>
          <w:rFonts w:ascii="Times New Roman" w:hAnsi="Times New Roman"/>
          <w:sz w:val="24"/>
          <w:szCs w:val="24"/>
        </w:rPr>
        <w:t>55</w:t>
      </w:r>
      <w:r w:rsidR="00C76DDF" w:rsidRPr="00001A95">
        <w:rPr>
          <w:rFonts w:ascii="Times New Roman" w:hAnsi="Times New Roman"/>
          <w:sz w:val="24"/>
          <w:szCs w:val="24"/>
        </w:rPr>
        <w:t xml:space="preserve"> справ розглянуто в порядку скороче</w:t>
      </w:r>
      <w:r w:rsidR="00001A95" w:rsidRPr="00001A95">
        <w:rPr>
          <w:rFonts w:ascii="Times New Roman" w:hAnsi="Times New Roman"/>
          <w:sz w:val="24"/>
          <w:szCs w:val="24"/>
        </w:rPr>
        <w:t xml:space="preserve">ного провадження, </w:t>
      </w:r>
      <w:r w:rsidR="003D3AC2">
        <w:rPr>
          <w:rFonts w:ascii="Times New Roman" w:hAnsi="Times New Roman"/>
          <w:sz w:val="24"/>
          <w:szCs w:val="24"/>
        </w:rPr>
        <w:t>44</w:t>
      </w:r>
      <w:r w:rsidR="00724436">
        <w:rPr>
          <w:rFonts w:ascii="Times New Roman" w:hAnsi="Times New Roman"/>
          <w:sz w:val="24"/>
          <w:szCs w:val="24"/>
        </w:rPr>
        <w:t xml:space="preserve"> </w:t>
      </w:r>
      <w:r w:rsidR="00001A95" w:rsidRPr="00001A95">
        <w:rPr>
          <w:rFonts w:ascii="Times New Roman" w:hAnsi="Times New Roman"/>
          <w:sz w:val="24"/>
          <w:szCs w:val="24"/>
        </w:rPr>
        <w:t>справ</w:t>
      </w:r>
      <w:r w:rsidR="003D3AC2">
        <w:rPr>
          <w:rFonts w:ascii="Times New Roman" w:hAnsi="Times New Roman"/>
          <w:sz w:val="24"/>
          <w:szCs w:val="24"/>
        </w:rPr>
        <w:t>и</w:t>
      </w:r>
      <w:r w:rsidR="00001A95" w:rsidRPr="00001A95">
        <w:rPr>
          <w:rFonts w:ascii="Times New Roman" w:hAnsi="Times New Roman"/>
          <w:sz w:val="24"/>
          <w:szCs w:val="24"/>
        </w:rPr>
        <w:t xml:space="preserve"> розглянуто під час підготовчого провадження.</w:t>
      </w:r>
    </w:p>
    <w:p w:rsidR="000219D5" w:rsidRPr="00C76DDF" w:rsidRDefault="000219D5" w:rsidP="00147EEC">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21 адміністративна справа розглянута у режимі відеоконференції.</w:t>
      </w:r>
    </w:p>
    <w:p w:rsidR="007D5BC5" w:rsidRDefault="00872196" w:rsidP="00474B03">
      <w:pPr>
        <w:pStyle w:val="a3"/>
        <w:tabs>
          <w:tab w:val="left" w:pos="-709"/>
        </w:tabs>
        <w:spacing w:after="0" w:line="240" w:lineRule="auto"/>
        <w:ind w:left="0" w:right="-1" w:firstLine="709"/>
        <w:jc w:val="both"/>
        <w:rPr>
          <w:rFonts w:ascii="Times New Roman" w:hAnsi="Times New Roman"/>
          <w:sz w:val="24"/>
          <w:szCs w:val="24"/>
        </w:rPr>
      </w:pPr>
      <w:r w:rsidRPr="00331A56">
        <w:rPr>
          <w:rFonts w:ascii="Times New Roman" w:hAnsi="Times New Roman"/>
          <w:sz w:val="24"/>
          <w:szCs w:val="24"/>
        </w:rPr>
        <w:t xml:space="preserve">Залишок нерозглянутих справ на кінець звітного періоду складає </w:t>
      </w:r>
      <w:r w:rsidR="00F453D7">
        <w:rPr>
          <w:rFonts w:ascii="Times New Roman" w:hAnsi="Times New Roman"/>
          <w:b/>
          <w:sz w:val="24"/>
          <w:szCs w:val="24"/>
        </w:rPr>
        <w:t>904</w:t>
      </w:r>
      <w:r w:rsidR="00A0390E" w:rsidRPr="00E33BCF">
        <w:rPr>
          <w:rFonts w:ascii="Times New Roman" w:hAnsi="Times New Roman"/>
          <w:b/>
          <w:sz w:val="24"/>
          <w:szCs w:val="24"/>
        </w:rPr>
        <w:t xml:space="preserve"> </w:t>
      </w:r>
      <w:r w:rsidR="00272266">
        <w:rPr>
          <w:rFonts w:ascii="Times New Roman" w:hAnsi="Times New Roman"/>
          <w:sz w:val="24"/>
          <w:szCs w:val="24"/>
        </w:rPr>
        <w:t>справ</w:t>
      </w:r>
      <w:r w:rsidR="00F453D7">
        <w:rPr>
          <w:rFonts w:ascii="Times New Roman" w:hAnsi="Times New Roman"/>
          <w:sz w:val="24"/>
          <w:szCs w:val="24"/>
        </w:rPr>
        <w:t>и</w:t>
      </w:r>
      <w:r w:rsidR="007018B9">
        <w:rPr>
          <w:rFonts w:ascii="Times New Roman" w:hAnsi="Times New Roman"/>
          <w:sz w:val="24"/>
          <w:szCs w:val="24"/>
        </w:rPr>
        <w:t>, з яких по 518 справа</w:t>
      </w:r>
      <w:r w:rsidR="00C94172">
        <w:rPr>
          <w:rFonts w:ascii="Times New Roman" w:hAnsi="Times New Roman"/>
          <w:sz w:val="24"/>
          <w:szCs w:val="24"/>
        </w:rPr>
        <w:t>х</w:t>
      </w:r>
      <w:r w:rsidR="007018B9">
        <w:rPr>
          <w:rFonts w:ascii="Times New Roman" w:hAnsi="Times New Roman"/>
          <w:sz w:val="24"/>
          <w:szCs w:val="24"/>
        </w:rPr>
        <w:t xml:space="preserve"> провадження </w:t>
      </w:r>
      <w:r w:rsidR="00C94172">
        <w:rPr>
          <w:rFonts w:ascii="Times New Roman" w:hAnsi="Times New Roman"/>
          <w:sz w:val="24"/>
          <w:szCs w:val="24"/>
        </w:rPr>
        <w:t>зупинене</w:t>
      </w:r>
      <w:r w:rsidR="00F453D7">
        <w:rPr>
          <w:rFonts w:ascii="Times New Roman" w:hAnsi="Times New Roman"/>
          <w:sz w:val="24"/>
          <w:szCs w:val="24"/>
        </w:rPr>
        <w:t>.</w:t>
      </w:r>
      <w:r w:rsidR="007F3DBB">
        <w:rPr>
          <w:rFonts w:ascii="Times New Roman" w:hAnsi="Times New Roman"/>
          <w:sz w:val="24"/>
          <w:szCs w:val="24"/>
        </w:rPr>
        <w:t xml:space="preserve"> </w:t>
      </w:r>
    </w:p>
    <w:p w:rsidR="003B0C0E" w:rsidRPr="00331A56" w:rsidRDefault="003B0C0E" w:rsidP="00474B03">
      <w:pPr>
        <w:pStyle w:val="a3"/>
        <w:tabs>
          <w:tab w:val="left" w:pos="-709"/>
        </w:tabs>
        <w:spacing w:after="0" w:line="240" w:lineRule="auto"/>
        <w:ind w:left="0" w:right="-1" w:firstLine="709"/>
        <w:jc w:val="both"/>
        <w:rPr>
          <w:rFonts w:ascii="Times New Roman" w:hAnsi="Times New Roman"/>
          <w:sz w:val="24"/>
          <w:szCs w:val="24"/>
        </w:rPr>
      </w:pPr>
    </w:p>
    <w:p w:rsidR="008F5E47" w:rsidRPr="00331A56" w:rsidRDefault="008F5E47" w:rsidP="002A2030">
      <w:pPr>
        <w:pStyle w:val="a3"/>
        <w:tabs>
          <w:tab w:val="left" w:pos="-284"/>
        </w:tabs>
        <w:spacing w:after="0" w:line="240" w:lineRule="auto"/>
        <w:ind w:left="0" w:right="-1"/>
        <w:jc w:val="center"/>
        <w:rPr>
          <w:rFonts w:ascii="Times New Roman" w:hAnsi="Times New Roman"/>
          <w:sz w:val="24"/>
          <w:szCs w:val="24"/>
        </w:rPr>
      </w:pPr>
      <w:r w:rsidRPr="00331A56">
        <w:rPr>
          <w:rFonts w:ascii="Times New Roman" w:hAnsi="Times New Roman"/>
          <w:noProof/>
          <w:sz w:val="24"/>
          <w:szCs w:val="24"/>
          <w:lang w:val="ru-RU"/>
        </w:rPr>
        <w:drawing>
          <wp:inline distT="0" distB="0" distL="0" distR="0">
            <wp:extent cx="5486400" cy="2802576"/>
            <wp:effectExtent l="0" t="0" r="19050" b="171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12AE" w:rsidRDefault="000B12AE" w:rsidP="00113C53">
      <w:pPr>
        <w:spacing w:after="0" w:line="240" w:lineRule="auto"/>
        <w:ind w:firstLine="709"/>
        <w:jc w:val="both"/>
        <w:rPr>
          <w:rFonts w:ascii="Times New Roman" w:hAnsi="Times New Roman"/>
          <w:sz w:val="24"/>
          <w:szCs w:val="24"/>
          <w:highlight w:val="yellow"/>
          <w:lang w:val="uk-UA"/>
        </w:rPr>
      </w:pPr>
    </w:p>
    <w:p w:rsidR="000B12AE" w:rsidRDefault="000B12AE" w:rsidP="000B12AE">
      <w:pPr>
        <w:spacing w:after="0" w:line="240" w:lineRule="auto"/>
        <w:ind w:firstLine="709"/>
        <w:jc w:val="both"/>
        <w:rPr>
          <w:rFonts w:ascii="Times New Roman" w:hAnsi="Times New Roman"/>
          <w:sz w:val="24"/>
          <w:szCs w:val="24"/>
          <w:lang w:val="uk-UA"/>
        </w:rPr>
      </w:pPr>
      <w:r w:rsidRPr="0015269F">
        <w:rPr>
          <w:rFonts w:ascii="Times New Roman" w:hAnsi="Times New Roman"/>
          <w:sz w:val="24"/>
          <w:szCs w:val="24"/>
          <w:lang w:val="uk-UA"/>
        </w:rPr>
        <w:t xml:space="preserve">Середньомісячний показник розглянутих суддею справ та матеріалів – </w:t>
      </w:r>
      <w:r w:rsidR="00D93767" w:rsidRPr="0015269F">
        <w:rPr>
          <w:rFonts w:ascii="Times New Roman" w:hAnsi="Times New Roman"/>
          <w:b/>
          <w:sz w:val="24"/>
          <w:szCs w:val="24"/>
          <w:lang w:val="uk-UA"/>
        </w:rPr>
        <w:t>58</w:t>
      </w:r>
      <w:r w:rsidRPr="0015269F">
        <w:rPr>
          <w:rFonts w:ascii="Times New Roman" w:hAnsi="Times New Roman"/>
          <w:sz w:val="24"/>
          <w:szCs w:val="24"/>
          <w:lang w:val="uk-UA"/>
        </w:rPr>
        <w:t xml:space="preserve">, </w:t>
      </w:r>
      <w:r w:rsidR="00D86467" w:rsidRPr="0015269F">
        <w:rPr>
          <w:rFonts w:ascii="Times New Roman" w:hAnsi="Times New Roman"/>
          <w:sz w:val="24"/>
          <w:szCs w:val="24"/>
          <w:lang w:val="uk-UA"/>
        </w:rPr>
        <w:t>що</w:t>
      </w:r>
      <w:r w:rsidRPr="0015269F">
        <w:rPr>
          <w:rFonts w:ascii="Times New Roman" w:hAnsi="Times New Roman"/>
          <w:sz w:val="24"/>
          <w:szCs w:val="24"/>
          <w:lang w:val="uk-UA"/>
        </w:rPr>
        <w:t xml:space="preserve"> становить </w:t>
      </w:r>
      <w:r w:rsidR="00D93767" w:rsidRPr="0015269F">
        <w:rPr>
          <w:rFonts w:ascii="Times New Roman" w:hAnsi="Times New Roman"/>
          <w:sz w:val="24"/>
          <w:szCs w:val="24"/>
          <w:lang w:val="uk-UA"/>
        </w:rPr>
        <w:t>81,7</w:t>
      </w:r>
      <w:r w:rsidRPr="0015269F">
        <w:rPr>
          <w:rFonts w:ascii="Times New Roman" w:hAnsi="Times New Roman"/>
          <w:sz w:val="24"/>
          <w:szCs w:val="24"/>
          <w:lang w:val="uk-UA"/>
        </w:rPr>
        <w:t>% відносно середньомісячного надходження заяв на розгляд судді (</w:t>
      </w:r>
      <w:r w:rsidR="00D93767" w:rsidRPr="0015269F">
        <w:rPr>
          <w:rFonts w:ascii="Times New Roman" w:hAnsi="Times New Roman"/>
          <w:b/>
          <w:sz w:val="24"/>
          <w:szCs w:val="24"/>
          <w:lang w:val="uk-UA"/>
        </w:rPr>
        <w:t>71</w:t>
      </w:r>
      <w:r w:rsidR="00D93767" w:rsidRPr="0015269F">
        <w:rPr>
          <w:rFonts w:ascii="Times New Roman" w:hAnsi="Times New Roman"/>
          <w:sz w:val="24"/>
          <w:szCs w:val="24"/>
          <w:lang w:val="uk-UA"/>
        </w:rPr>
        <w:t>).</w:t>
      </w:r>
      <w:bookmarkStart w:id="0" w:name="_GoBack"/>
      <w:bookmarkEnd w:id="0"/>
    </w:p>
    <w:p w:rsidR="002B4243" w:rsidRPr="00240344" w:rsidRDefault="00E63201" w:rsidP="002B4243">
      <w:pPr>
        <w:shd w:val="clear" w:color="auto" w:fill="FFFFFF"/>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rPr>
        <w:lastRenderedPageBreak/>
        <w:t xml:space="preserve">Згідно </w:t>
      </w:r>
      <w:r w:rsidR="000122AD">
        <w:rPr>
          <w:rFonts w:ascii="Times New Roman" w:hAnsi="Times New Roman"/>
          <w:sz w:val="24"/>
          <w:szCs w:val="24"/>
          <w:lang w:val="uk-UA"/>
        </w:rPr>
        <w:t xml:space="preserve">з </w:t>
      </w:r>
      <w:r>
        <w:rPr>
          <w:rFonts w:ascii="Times New Roman" w:hAnsi="Times New Roman"/>
          <w:sz w:val="24"/>
          <w:szCs w:val="24"/>
          <w:lang w:val="uk-UA"/>
        </w:rPr>
        <w:t>дани</w:t>
      </w:r>
      <w:r w:rsidR="000122AD">
        <w:rPr>
          <w:rFonts w:ascii="Times New Roman" w:hAnsi="Times New Roman"/>
          <w:sz w:val="24"/>
          <w:szCs w:val="24"/>
          <w:lang w:val="uk-UA"/>
        </w:rPr>
        <w:t>ми</w:t>
      </w:r>
      <w:r>
        <w:rPr>
          <w:rFonts w:ascii="Times New Roman" w:hAnsi="Times New Roman"/>
          <w:sz w:val="24"/>
          <w:szCs w:val="24"/>
          <w:lang w:val="uk-UA"/>
        </w:rPr>
        <w:t xml:space="preserve"> Базових показників роботи суду у звітному періоді середня кількість розглянутих справ та матеріалів на одного суддю становить </w:t>
      </w:r>
      <w:r w:rsidR="009549D6">
        <w:rPr>
          <w:rFonts w:ascii="Times New Roman" w:hAnsi="Times New Roman"/>
          <w:sz w:val="24"/>
          <w:szCs w:val="24"/>
          <w:lang w:val="uk-UA"/>
        </w:rPr>
        <w:t>554</w:t>
      </w:r>
      <w:r>
        <w:rPr>
          <w:rFonts w:ascii="Times New Roman" w:hAnsi="Times New Roman"/>
          <w:sz w:val="24"/>
          <w:szCs w:val="24"/>
          <w:lang w:val="uk-UA"/>
        </w:rPr>
        <w:t xml:space="preserve"> справ</w:t>
      </w:r>
      <w:r w:rsidR="009549D6">
        <w:rPr>
          <w:rFonts w:ascii="Times New Roman" w:hAnsi="Times New Roman"/>
          <w:sz w:val="24"/>
          <w:szCs w:val="24"/>
          <w:lang w:val="uk-UA"/>
        </w:rPr>
        <w:t>и</w:t>
      </w:r>
      <w:r w:rsidR="00E33BCF">
        <w:rPr>
          <w:rFonts w:ascii="Times New Roman" w:hAnsi="Times New Roman"/>
          <w:sz w:val="24"/>
          <w:szCs w:val="24"/>
          <w:lang w:val="uk-UA"/>
        </w:rPr>
        <w:t xml:space="preserve"> та матеріалів</w:t>
      </w:r>
      <w:r w:rsidR="009549D6">
        <w:rPr>
          <w:rFonts w:ascii="Times New Roman" w:hAnsi="Times New Roman"/>
          <w:sz w:val="24"/>
          <w:szCs w:val="24"/>
          <w:lang w:val="uk-UA"/>
        </w:rPr>
        <w:t xml:space="preserve">, що на </w:t>
      </w:r>
      <w:r w:rsidR="002B4243" w:rsidRPr="00240344">
        <w:rPr>
          <w:rFonts w:ascii="Times New Roman" w:hAnsi="Times New Roman"/>
          <w:sz w:val="24"/>
          <w:szCs w:val="24"/>
          <w:lang w:val="uk-UA"/>
        </w:rPr>
        <w:t>що на 2</w:t>
      </w:r>
      <w:r w:rsidR="002B4243">
        <w:rPr>
          <w:rFonts w:ascii="Times New Roman" w:hAnsi="Times New Roman"/>
          <w:sz w:val="24"/>
          <w:szCs w:val="24"/>
          <w:lang w:val="uk-UA"/>
        </w:rPr>
        <w:t>,2</w:t>
      </w:r>
      <w:r w:rsidR="002B4243" w:rsidRPr="00240344">
        <w:rPr>
          <w:rFonts w:ascii="Times New Roman" w:hAnsi="Times New Roman"/>
          <w:sz w:val="24"/>
          <w:szCs w:val="24"/>
          <w:lang w:val="uk-UA"/>
        </w:rPr>
        <w:t>% більше  у порівнянні з 2016 рок</w:t>
      </w:r>
      <w:r w:rsidR="002B4243">
        <w:rPr>
          <w:rFonts w:ascii="Times New Roman" w:hAnsi="Times New Roman"/>
          <w:sz w:val="24"/>
          <w:szCs w:val="24"/>
          <w:lang w:val="uk-UA"/>
        </w:rPr>
        <w:t>ом</w:t>
      </w:r>
      <w:r w:rsidR="002B4243" w:rsidRPr="00240344">
        <w:rPr>
          <w:rFonts w:ascii="Times New Roman" w:hAnsi="Times New Roman"/>
          <w:sz w:val="24"/>
          <w:szCs w:val="24"/>
          <w:lang w:val="uk-UA"/>
        </w:rPr>
        <w:t xml:space="preserve"> (</w:t>
      </w:r>
      <w:r w:rsidR="002B4243">
        <w:rPr>
          <w:rFonts w:ascii="Times New Roman" w:hAnsi="Times New Roman"/>
          <w:sz w:val="24"/>
          <w:szCs w:val="24"/>
          <w:lang w:val="uk-UA"/>
        </w:rPr>
        <w:t>542</w:t>
      </w:r>
      <w:r w:rsidR="002B4243" w:rsidRPr="00240344">
        <w:rPr>
          <w:rFonts w:ascii="Times New Roman" w:hAnsi="Times New Roman"/>
          <w:sz w:val="24"/>
          <w:szCs w:val="24"/>
          <w:lang w:val="uk-UA"/>
        </w:rPr>
        <w:t>)</w:t>
      </w:r>
      <w:r w:rsidR="002B4243" w:rsidRPr="00240344">
        <w:rPr>
          <w:rFonts w:ascii="Times New Roman" w:hAnsi="Times New Roman"/>
          <w:sz w:val="24"/>
          <w:szCs w:val="24"/>
          <w:lang w:val="uk-UA" w:eastAsia="uk-UA"/>
        </w:rPr>
        <w:t xml:space="preserve">. </w:t>
      </w:r>
    </w:p>
    <w:p w:rsidR="002B4243" w:rsidRDefault="002B4243" w:rsidP="002B4243">
      <w:pPr>
        <w:spacing w:after="0" w:line="240" w:lineRule="auto"/>
        <w:ind w:firstLine="709"/>
        <w:jc w:val="both"/>
        <w:rPr>
          <w:rFonts w:ascii="Times New Roman" w:hAnsi="Times New Roman"/>
          <w:sz w:val="24"/>
          <w:szCs w:val="24"/>
          <w:lang w:val="uk-UA"/>
        </w:rPr>
      </w:pPr>
      <w:r w:rsidRPr="00240344">
        <w:rPr>
          <w:rFonts w:ascii="Times New Roman" w:hAnsi="Times New Roman"/>
          <w:sz w:val="24"/>
          <w:szCs w:val="24"/>
          <w:lang w:val="uk-UA"/>
        </w:rPr>
        <w:t>Різниця в показниках обумовлена різними формами обрахунку даних.</w:t>
      </w:r>
    </w:p>
    <w:p w:rsidR="000D1B6C" w:rsidRDefault="000D1B6C" w:rsidP="000D1B6C">
      <w:pPr>
        <w:spacing w:after="0" w:line="240" w:lineRule="auto"/>
        <w:ind w:firstLine="708"/>
        <w:jc w:val="both"/>
        <w:rPr>
          <w:rFonts w:ascii="Times New Roman" w:hAnsi="Times New Roman"/>
          <w:sz w:val="24"/>
          <w:szCs w:val="24"/>
          <w:lang w:val="uk-UA"/>
        </w:rPr>
      </w:pPr>
    </w:p>
    <w:p w:rsidR="000D1B6C" w:rsidRDefault="000D1B6C" w:rsidP="000D1B6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322</w:t>
      </w:r>
      <w:r w:rsidRPr="00950A25">
        <w:rPr>
          <w:rFonts w:ascii="Times New Roman" w:hAnsi="Times New Roman"/>
          <w:sz w:val="24"/>
          <w:szCs w:val="24"/>
          <w:lang w:val="uk-UA"/>
        </w:rPr>
        <w:t xml:space="preserve"> адміністративн</w:t>
      </w:r>
      <w:r>
        <w:rPr>
          <w:rFonts w:ascii="Times New Roman" w:hAnsi="Times New Roman"/>
          <w:sz w:val="24"/>
          <w:szCs w:val="24"/>
          <w:lang w:val="uk-UA"/>
        </w:rPr>
        <w:t>і</w:t>
      </w:r>
      <w:r w:rsidRPr="00950A25">
        <w:rPr>
          <w:rFonts w:ascii="Times New Roman" w:hAnsi="Times New Roman"/>
          <w:sz w:val="24"/>
          <w:szCs w:val="24"/>
          <w:lang w:val="uk-UA"/>
        </w:rPr>
        <w:t xml:space="preserve"> справ</w:t>
      </w:r>
      <w:r>
        <w:rPr>
          <w:rFonts w:ascii="Times New Roman" w:hAnsi="Times New Roman"/>
          <w:sz w:val="24"/>
          <w:szCs w:val="24"/>
          <w:lang w:val="uk-UA"/>
        </w:rPr>
        <w:t>и</w:t>
      </w:r>
      <w:r w:rsidRPr="00950A25">
        <w:rPr>
          <w:rFonts w:ascii="Times New Roman" w:hAnsi="Times New Roman"/>
          <w:sz w:val="24"/>
          <w:szCs w:val="24"/>
          <w:lang w:val="uk-UA"/>
        </w:rPr>
        <w:t xml:space="preserve"> розглянуто з порушенням строку, передбаченого КАС України, що становить </w:t>
      </w:r>
      <w:r>
        <w:rPr>
          <w:rFonts w:ascii="Times New Roman" w:hAnsi="Times New Roman"/>
          <w:sz w:val="24"/>
          <w:szCs w:val="24"/>
          <w:lang w:val="uk-UA"/>
        </w:rPr>
        <w:t>9,3</w:t>
      </w:r>
      <w:r w:rsidRPr="00950A25">
        <w:rPr>
          <w:rFonts w:ascii="Times New Roman" w:hAnsi="Times New Roman"/>
          <w:sz w:val="24"/>
          <w:szCs w:val="24"/>
          <w:lang w:val="uk-UA"/>
        </w:rPr>
        <w:t>% від кількості справ, розглянутих у звітному періоді</w:t>
      </w:r>
      <w:r>
        <w:rPr>
          <w:rFonts w:ascii="Times New Roman" w:hAnsi="Times New Roman"/>
          <w:sz w:val="24"/>
          <w:szCs w:val="24"/>
          <w:lang w:val="uk-UA"/>
        </w:rPr>
        <w:t>.</w:t>
      </w:r>
    </w:p>
    <w:p w:rsidR="000D1B6C" w:rsidRPr="00950A25" w:rsidRDefault="000D1B6C" w:rsidP="000D1B6C">
      <w:pPr>
        <w:spacing w:after="0" w:line="240" w:lineRule="auto"/>
        <w:ind w:firstLine="708"/>
        <w:jc w:val="both"/>
        <w:rPr>
          <w:rFonts w:ascii="Times New Roman" w:hAnsi="Times New Roman"/>
          <w:sz w:val="24"/>
          <w:szCs w:val="24"/>
          <w:lang w:val="uk-UA"/>
        </w:rPr>
      </w:pPr>
      <w:r w:rsidRPr="00950A25">
        <w:rPr>
          <w:rFonts w:ascii="Times New Roman" w:hAnsi="Times New Roman"/>
          <w:sz w:val="24"/>
          <w:szCs w:val="24"/>
          <w:lang w:val="uk-UA"/>
        </w:rPr>
        <w:t>Недотримання строків розгляду справ обумовлено причинами, які у своїй більшості мають об’єктивний характер та не залежать від суду, зокрема:</w:t>
      </w:r>
    </w:p>
    <w:p w:rsidR="000D1B6C" w:rsidRPr="00950A25" w:rsidRDefault="000D1B6C" w:rsidP="000D1B6C">
      <w:pPr>
        <w:numPr>
          <w:ilvl w:val="0"/>
          <w:numId w:val="1"/>
        </w:numPr>
        <w:tabs>
          <w:tab w:val="left" w:pos="993"/>
        </w:tabs>
        <w:spacing w:after="0" w:line="240" w:lineRule="auto"/>
        <w:ind w:left="1080"/>
        <w:jc w:val="both"/>
        <w:rPr>
          <w:rFonts w:ascii="Times New Roman" w:hAnsi="Times New Roman"/>
          <w:sz w:val="24"/>
          <w:szCs w:val="24"/>
          <w:lang w:val="uk-UA"/>
        </w:rPr>
      </w:pPr>
      <w:r w:rsidRPr="00950A25">
        <w:rPr>
          <w:rFonts w:ascii="Times New Roman" w:hAnsi="Times New Roman"/>
          <w:sz w:val="24"/>
          <w:szCs w:val="24"/>
          <w:lang w:val="uk-UA"/>
        </w:rPr>
        <w:t>неявка учасників процесу;</w:t>
      </w:r>
    </w:p>
    <w:p w:rsidR="000D1B6C" w:rsidRPr="00950A25" w:rsidRDefault="000D1B6C" w:rsidP="000D1B6C">
      <w:pPr>
        <w:numPr>
          <w:ilvl w:val="0"/>
          <w:numId w:val="1"/>
        </w:numPr>
        <w:tabs>
          <w:tab w:val="left" w:pos="993"/>
        </w:tabs>
        <w:spacing w:after="0" w:line="240" w:lineRule="auto"/>
        <w:ind w:left="1080"/>
        <w:jc w:val="both"/>
        <w:rPr>
          <w:rFonts w:ascii="Times New Roman" w:hAnsi="Times New Roman"/>
          <w:sz w:val="24"/>
          <w:szCs w:val="24"/>
          <w:lang w:val="uk-UA"/>
        </w:rPr>
      </w:pPr>
      <w:r w:rsidRPr="00950A25">
        <w:rPr>
          <w:rFonts w:ascii="Times New Roman" w:hAnsi="Times New Roman"/>
          <w:sz w:val="24"/>
          <w:szCs w:val="24"/>
          <w:lang w:val="uk-UA"/>
        </w:rPr>
        <w:t>задоволення клопотань учасників процесу про відкладення розгляду справи.</w:t>
      </w:r>
    </w:p>
    <w:p w:rsidR="00401C6E" w:rsidRPr="00950A25" w:rsidRDefault="00401C6E" w:rsidP="002B4243">
      <w:pPr>
        <w:spacing w:after="0" w:line="240" w:lineRule="auto"/>
        <w:ind w:firstLine="709"/>
        <w:jc w:val="both"/>
        <w:rPr>
          <w:rFonts w:ascii="Times New Roman" w:hAnsi="Times New Roman"/>
          <w:sz w:val="24"/>
          <w:szCs w:val="24"/>
          <w:lang w:val="uk-UA"/>
        </w:rPr>
      </w:pPr>
    </w:p>
    <w:p w:rsidR="002B4243" w:rsidRDefault="008853E1" w:rsidP="002B4243">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Згідно з даними звіту 1-оас загальна тривалість розгляду адміністративних спр</w:t>
      </w:r>
      <w:r w:rsidR="0095338B">
        <w:rPr>
          <w:rFonts w:ascii="Times New Roman" w:hAnsi="Times New Roman"/>
          <w:sz w:val="24"/>
          <w:szCs w:val="24"/>
          <w:lang w:val="uk-UA"/>
        </w:rPr>
        <w:t>ав</w:t>
      </w:r>
      <w:r w:rsidR="00F7736E">
        <w:rPr>
          <w:rFonts w:ascii="Times New Roman" w:hAnsi="Times New Roman"/>
          <w:sz w:val="24"/>
          <w:szCs w:val="24"/>
          <w:lang w:val="uk-UA"/>
        </w:rPr>
        <w:t xml:space="preserve"> та матеріалів</w:t>
      </w:r>
      <w:r w:rsidR="0095338B">
        <w:rPr>
          <w:rFonts w:ascii="Times New Roman" w:hAnsi="Times New Roman"/>
          <w:sz w:val="24"/>
          <w:szCs w:val="24"/>
          <w:lang w:val="uk-UA"/>
        </w:rPr>
        <w:t xml:space="preserve"> у звітному періоді становить</w:t>
      </w:r>
      <w:r w:rsidR="00F9592E">
        <w:rPr>
          <w:rFonts w:ascii="Times New Roman" w:hAnsi="Times New Roman"/>
          <w:sz w:val="24"/>
          <w:szCs w:val="24"/>
          <w:lang w:val="uk-UA"/>
        </w:rPr>
        <w:t xml:space="preserve"> (без урахування зупинень)</w:t>
      </w:r>
      <w:r w:rsidR="0095338B">
        <w:rPr>
          <w:rFonts w:ascii="Times New Roman" w:hAnsi="Times New Roman"/>
          <w:sz w:val="24"/>
          <w:szCs w:val="24"/>
          <w:lang w:val="uk-UA"/>
        </w:rPr>
        <w:t>:</w:t>
      </w:r>
    </w:p>
    <w:p w:rsidR="0095338B" w:rsidRDefault="0095338B" w:rsidP="0095338B">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до 3 місяців включно</w:t>
      </w:r>
      <w:r w:rsidR="00F7736E">
        <w:rPr>
          <w:rFonts w:ascii="Times New Roman" w:hAnsi="Times New Roman"/>
          <w:sz w:val="24"/>
          <w:szCs w:val="24"/>
        </w:rPr>
        <w:t xml:space="preserve"> розглянуто</w:t>
      </w:r>
      <w:r>
        <w:rPr>
          <w:rFonts w:ascii="Times New Roman" w:hAnsi="Times New Roman"/>
          <w:sz w:val="24"/>
          <w:szCs w:val="24"/>
        </w:rPr>
        <w:t xml:space="preserve"> – 4</w:t>
      </w:r>
      <w:r w:rsidR="00C775B0">
        <w:rPr>
          <w:rFonts w:ascii="Times New Roman" w:hAnsi="Times New Roman"/>
          <w:sz w:val="24"/>
          <w:szCs w:val="24"/>
        </w:rPr>
        <w:t> </w:t>
      </w:r>
      <w:r>
        <w:rPr>
          <w:rFonts w:ascii="Times New Roman" w:hAnsi="Times New Roman"/>
          <w:sz w:val="24"/>
          <w:szCs w:val="24"/>
        </w:rPr>
        <w:t>254</w:t>
      </w:r>
      <w:r w:rsidR="00C775B0">
        <w:rPr>
          <w:rFonts w:ascii="Times New Roman" w:hAnsi="Times New Roman"/>
          <w:sz w:val="24"/>
          <w:szCs w:val="24"/>
        </w:rPr>
        <w:t xml:space="preserve"> адміністративн</w:t>
      </w:r>
      <w:r w:rsidR="00F7736E">
        <w:rPr>
          <w:rFonts w:ascii="Times New Roman" w:hAnsi="Times New Roman"/>
          <w:sz w:val="24"/>
          <w:szCs w:val="24"/>
        </w:rPr>
        <w:t>их</w:t>
      </w:r>
      <w:r w:rsidR="00C775B0">
        <w:rPr>
          <w:rFonts w:ascii="Times New Roman" w:hAnsi="Times New Roman"/>
          <w:sz w:val="24"/>
          <w:szCs w:val="24"/>
        </w:rPr>
        <w:t xml:space="preserve"> справ</w:t>
      </w:r>
      <w:r w:rsidR="00F7736E">
        <w:rPr>
          <w:rFonts w:ascii="Times New Roman" w:hAnsi="Times New Roman"/>
          <w:sz w:val="24"/>
          <w:szCs w:val="24"/>
        </w:rPr>
        <w:t xml:space="preserve"> та матеріалів</w:t>
      </w:r>
      <w:r>
        <w:rPr>
          <w:rFonts w:ascii="Times New Roman" w:hAnsi="Times New Roman"/>
          <w:sz w:val="24"/>
          <w:szCs w:val="24"/>
        </w:rPr>
        <w:t>;</w:t>
      </w:r>
    </w:p>
    <w:p w:rsidR="0095338B" w:rsidRDefault="0095338B" w:rsidP="0095338B">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понад 3 місяці до одного року</w:t>
      </w:r>
      <w:r w:rsidR="00C775B0">
        <w:rPr>
          <w:rFonts w:ascii="Times New Roman" w:hAnsi="Times New Roman"/>
          <w:sz w:val="24"/>
          <w:szCs w:val="24"/>
        </w:rPr>
        <w:t xml:space="preserve"> </w:t>
      </w:r>
      <w:r w:rsidR="00F7736E">
        <w:rPr>
          <w:rFonts w:ascii="Times New Roman" w:hAnsi="Times New Roman"/>
          <w:sz w:val="24"/>
          <w:szCs w:val="24"/>
        </w:rPr>
        <w:t xml:space="preserve">розглянуто </w:t>
      </w:r>
      <w:r>
        <w:rPr>
          <w:rFonts w:ascii="Times New Roman" w:hAnsi="Times New Roman"/>
          <w:sz w:val="24"/>
          <w:szCs w:val="24"/>
        </w:rPr>
        <w:t>– 924</w:t>
      </w:r>
      <w:r w:rsidR="00F7736E" w:rsidRPr="00F7736E">
        <w:rPr>
          <w:rFonts w:ascii="Times New Roman" w:hAnsi="Times New Roman"/>
          <w:sz w:val="24"/>
          <w:szCs w:val="24"/>
        </w:rPr>
        <w:t xml:space="preserve"> </w:t>
      </w:r>
      <w:r w:rsidR="00F7736E">
        <w:rPr>
          <w:rFonts w:ascii="Times New Roman" w:hAnsi="Times New Roman"/>
          <w:sz w:val="24"/>
          <w:szCs w:val="24"/>
        </w:rPr>
        <w:t>адміністративних справ та матеріалів</w:t>
      </w:r>
      <w:r>
        <w:rPr>
          <w:rFonts w:ascii="Times New Roman" w:hAnsi="Times New Roman"/>
          <w:sz w:val="24"/>
          <w:szCs w:val="24"/>
        </w:rPr>
        <w:t>;</w:t>
      </w:r>
    </w:p>
    <w:p w:rsidR="0095338B" w:rsidRDefault="0095338B" w:rsidP="0095338B">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понад1 рік до 2-х років включно</w:t>
      </w:r>
      <w:r w:rsidR="00F7736E">
        <w:rPr>
          <w:rFonts w:ascii="Times New Roman" w:hAnsi="Times New Roman"/>
          <w:sz w:val="24"/>
          <w:szCs w:val="24"/>
        </w:rPr>
        <w:t xml:space="preserve"> розглянуто</w:t>
      </w:r>
      <w:r>
        <w:rPr>
          <w:rFonts w:ascii="Times New Roman" w:hAnsi="Times New Roman"/>
          <w:sz w:val="24"/>
          <w:szCs w:val="24"/>
        </w:rPr>
        <w:t xml:space="preserve"> – 80</w:t>
      </w:r>
      <w:r w:rsidR="00F7736E">
        <w:rPr>
          <w:rFonts w:ascii="Times New Roman" w:hAnsi="Times New Roman"/>
          <w:sz w:val="24"/>
          <w:szCs w:val="24"/>
        </w:rPr>
        <w:t xml:space="preserve"> адміністративних справ та матеріалів</w:t>
      </w:r>
      <w:r>
        <w:rPr>
          <w:rFonts w:ascii="Times New Roman" w:hAnsi="Times New Roman"/>
          <w:sz w:val="24"/>
          <w:szCs w:val="24"/>
        </w:rPr>
        <w:t>;</w:t>
      </w:r>
    </w:p>
    <w:p w:rsidR="0095338B" w:rsidRDefault="0095338B" w:rsidP="0095338B">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понад 2-х років до 3-х років включно </w:t>
      </w:r>
      <w:r w:rsidR="00F7736E">
        <w:rPr>
          <w:rFonts w:ascii="Times New Roman" w:hAnsi="Times New Roman"/>
          <w:sz w:val="24"/>
          <w:szCs w:val="24"/>
        </w:rPr>
        <w:t xml:space="preserve">розглянуто </w:t>
      </w:r>
      <w:r>
        <w:rPr>
          <w:rFonts w:ascii="Times New Roman" w:hAnsi="Times New Roman"/>
          <w:sz w:val="24"/>
          <w:szCs w:val="24"/>
        </w:rPr>
        <w:t>– 17</w:t>
      </w:r>
      <w:r w:rsidR="00F7736E" w:rsidRPr="00F7736E">
        <w:rPr>
          <w:rFonts w:ascii="Times New Roman" w:hAnsi="Times New Roman"/>
          <w:sz w:val="24"/>
          <w:szCs w:val="24"/>
        </w:rPr>
        <w:t xml:space="preserve"> </w:t>
      </w:r>
      <w:r w:rsidR="00F7736E">
        <w:rPr>
          <w:rFonts w:ascii="Times New Roman" w:hAnsi="Times New Roman"/>
          <w:sz w:val="24"/>
          <w:szCs w:val="24"/>
        </w:rPr>
        <w:t>адміністративних справ та матеріалів</w:t>
      </w:r>
      <w:r>
        <w:rPr>
          <w:rFonts w:ascii="Times New Roman" w:hAnsi="Times New Roman"/>
          <w:sz w:val="24"/>
          <w:szCs w:val="24"/>
        </w:rPr>
        <w:t>;</w:t>
      </w:r>
    </w:p>
    <w:p w:rsidR="00DD5D3C" w:rsidRDefault="0095338B" w:rsidP="00DD5D3C">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понад 3 роки </w:t>
      </w:r>
      <w:r w:rsidR="00DD5D3C">
        <w:rPr>
          <w:rFonts w:ascii="Times New Roman" w:hAnsi="Times New Roman"/>
          <w:sz w:val="24"/>
          <w:szCs w:val="24"/>
        </w:rPr>
        <w:t xml:space="preserve">розглянуто </w:t>
      </w:r>
      <w:r>
        <w:rPr>
          <w:rFonts w:ascii="Times New Roman" w:hAnsi="Times New Roman"/>
          <w:sz w:val="24"/>
          <w:szCs w:val="24"/>
        </w:rPr>
        <w:t>- 23</w:t>
      </w:r>
      <w:r w:rsidR="00DD5D3C" w:rsidRPr="00DD5D3C">
        <w:rPr>
          <w:rFonts w:ascii="Times New Roman" w:hAnsi="Times New Roman"/>
          <w:sz w:val="24"/>
          <w:szCs w:val="24"/>
        </w:rPr>
        <w:t xml:space="preserve"> </w:t>
      </w:r>
      <w:r w:rsidR="00DD5D3C">
        <w:rPr>
          <w:rFonts w:ascii="Times New Roman" w:hAnsi="Times New Roman"/>
          <w:sz w:val="24"/>
          <w:szCs w:val="24"/>
        </w:rPr>
        <w:t>адміністративних справ та матеріалів.</w:t>
      </w:r>
    </w:p>
    <w:p w:rsidR="0095338B" w:rsidRPr="0095338B" w:rsidRDefault="0095338B" w:rsidP="00DD5D3C">
      <w:pPr>
        <w:pStyle w:val="a3"/>
        <w:spacing w:after="0" w:line="240" w:lineRule="auto"/>
        <w:ind w:left="360"/>
        <w:jc w:val="both"/>
        <w:rPr>
          <w:rFonts w:ascii="Times New Roman" w:hAnsi="Times New Roman"/>
          <w:sz w:val="24"/>
          <w:szCs w:val="24"/>
        </w:rPr>
      </w:pPr>
    </w:p>
    <w:p w:rsidR="0065693F" w:rsidRPr="000A5BA0" w:rsidRDefault="00872196" w:rsidP="002B4243">
      <w:pPr>
        <w:spacing w:after="0" w:line="240" w:lineRule="auto"/>
        <w:ind w:firstLine="709"/>
        <w:jc w:val="both"/>
        <w:rPr>
          <w:rFonts w:ascii="Times New Roman" w:hAnsi="Times New Roman"/>
          <w:sz w:val="24"/>
          <w:szCs w:val="24"/>
          <w:lang w:val="uk-UA"/>
        </w:rPr>
      </w:pPr>
      <w:r w:rsidRPr="00593192">
        <w:rPr>
          <w:rFonts w:ascii="Times New Roman" w:hAnsi="Times New Roman"/>
          <w:sz w:val="24"/>
          <w:szCs w:val="24"/>
          <w:lang w:val="uk-UA"/>
        </w:rPr>
        <w:t>Визначення категорій адміністративних справ у 201</w:t>
      </w:r>
      <w:r w:rsidR="00771E4A" w:rsidRPr="00593192">
        <w:rPr>
          <w:rFonts w:ascii="Times New Roman" w:hAnsi="Times New Roman"/>
          <w:sz w:val="24"/>
          <w:szCs w:val="24"/>
          <w:lang w:val="uk-UA"/>
        </w:rPr>
        <w:t>7</w:t>
      </w:r>
      <w:r w:rsidR="00240001" w:rsidRPr="00593192">
        <w:rPr>
          <w:rFonts w:ascii="Times New Roman" w:hAnsi="Times New Roman"/>
          <w:sz w:val="24"/>
          <w:szCs w:val="24"/>
          <w:lang w:val="uk-UA"/>
        </w:rPr>
        <w:t xml:space="preserve"> році</w:t>
      </w:r>
      <w:r w:rsidRPr="00593192">
        <w:rPr>
          <w:rFonts w:ascii="Times New Roman" w:hAnsi="Times New Roman"/>
          <w:sz w:val="24"/>
          <w:szCs w:val="24"/>
          <w:lang w:val="uk-UA"/>
        </w:rPr>
        <w:t xml:space="preserve"> проводилося згідно з класифікатором категорій адміністративних справ, затвердженим рішенням Ради суддів адміністративних суд</w:t>
      </w:r>
      <w:r w:rsidR="00F0768E" w:rsidRPr="00593192">
        <w:rPr>
          <w:rFonts w:ascii="Times New Roman" w:hAnsi="Times New Roman"/>
          <w:sz w:val="24"/>
          <w:szCs w:val="24"/>
          <w:lang w:val="uk-UA"/>
        </w:rPr>
        <w:t xml:space="preserve">ів України від </w:t>
      </w:r>
      <w:r w:rsidR="0065693F" w:rsidRPr="00593192">
        <w:rPr>
          <w:rFonts w:ascii="Times New Roman" w:hAnsi="Times New Roman"/>
          <w:sz w:val="24"/>
          <w:szCs w:val="24"/>
          <w:lang w:val="uk-UA"/>
        </w:rPr>
        <w:t>31.10.2013 № 114.</w:t>
      </w:r>
      <w:r w:rsidR="0065693F" w:rsidRPr="000A5BA0">
        <w:rPr>
          <w:rFonts w:ascii="Times New Roman" w:hAnsi="Times New Roman"/>
          <w:sz w:val="24"/>
          <w:szCs w:val="24"/>
          <w:lang w:val="uk-UA"/>
        </w:rPr>
        <w:t xml:space="preserve"> </w:t>
      </w:r>
    </w:p>
    <w:p w:rsidR="002A2030" w:rsidRDefault="00240001" w:rsidP="0065693F">
      <w:pPr>
        <w:spacing w:after="0" w:line="240" w:lineRule="auto"/>
        <w:ind w:firstLine="709"/>
        <w:jc w:val="both"/>
        <w:rPr>
          <w:rFonts w:ascii="Times New Roman" w:hAnsi="Times New Roman"/>
          <w:sz w:val="24"/>
          <w:szCs w:val="24"/>
          <w:lang w:val="uk-UA"/>
        </w:rPr>
      </w:pPr>
      <w:r w:rsidRPr="00331A56">
        <w:rPr>
          <w:rFonts w:ascii="Times New Roman" w:hAnsi="Times New Roman"/>
          <w:sz w:val="24"/>
          <w:szCs w:val="24"/>
          <w:lang w:val="uk-UA"/>
        </w:rPr>
        <w:t>У</w:t>
      </w:r>
      <w:r w:rsidR="004D4E39" w:rsidRPr="00331A56">
        <w:rPr>
          <w:rFonts w:ascii="Times New Roman" w:hAnsi="Times New Roman"/>
          <w:sz w:val="24"/>
          <w:szCs w:val="24"/>
          <w:lang w:val="uk-UA"/>
        </w:rPr>
        <w:t xml:space="preserve"> 201</w:t>
      </w:r>
      <w:r w:rsidR="00771E4A">
        <w:rPr>
          <w:rFonts w:ascii="Times New Roman" w:hAnsi="Times New Roman"/>
          <w:sz w:val="24"/>
          <w:szCs w:val="24"/>
          <w:lang w:val="uk-UA"/>
        </w:rPr>
        <w:t>7</w:t>
      </w:r>
      <w:r w:rsidR="004D4E39" w:rsidRPr="00331A56">
        <w:rPr>
          <w:rFonts w:ascii="Times New Roman" w:hAnsi="Times New Roman"/>
          <w:sz w:val="24"/>
          <w:szCs w:val="24"/>
          <w:lang w:val="uk-UA"/>
        </w:rPr>
        <w:t xml:space="preserve"> ро</w:t>
      </w:r>
      <w:r w:rsidRPr="00331A56">
        <w:rPr>
          <w:rFonts w:ascii="Times New Roman" w:hAnsi="Times New Roman"/>
          <w:sz w:val="24"/>
          <w:szCs w:val="24"/>
          <w:lang w:val="uk-UA"/>
        </w:rPr>
        <w:t>ці</w:t>
      </w:r>
      <w:r w:rsidR="00872196" w:rsidRPr="00331A56">
        <w:rPr>
          <w:rFonts w:ascii="Times New Roman" w:hAnsi="Times New Roman"/>
          <w:sz w:val="24"/>
          <w:szCs w:val="24"/>
          <w:lang w:val="uk-UA"/>
        </w:rPr>
        <w:t xml:space="preserve"> в провадженні Запорізького окружного адміністративного суду були справи наступних категорій:</w:t>
      </w:r>
    </w:p>
    <w:tbl>
      <w:tblPr>
        <w:tblStyle w:val="ab"/>
        <w:tblW w:w="9854" w:type="dxa"/>
        <w:tblLayout w:type="fixed"/>
        <w:tblLook w:val="04A0" w:firstRow="1" w:lastRow="0" w:firstColumn="1" w:lastColumn="0" w:noHBand="0" w:noVBand="1"/>
      </w:tblPr>
      <w:tblGrid>
        <w:gridCol w:w="817"/>
        <w:gridCol w:w="4394"/>
        <w:gridCol w:w="993"/>
        <w:gridCol w:w="1134"/>
        <w:gridCol w:w="1701"/>
        <w:gridCol w:w="815"/>
      </w:tblGrid>
      <w:tr w:rsidR="0009292B" w:rsidRPr="00950A25" w:rsidTr="0009292B">
        <w:trPr>
          <w:trHeight w:val="470"/>
        </w:trPr>
        <w:tc>
          <w:tcPr>
            <w:tcW w:w="817" w:type="dxa"/>
            <w:vMerge w:val="restart"/>
            <w:textDirection w:val="btLr"/>
            <w:vAlign w:val="center"/>
          </w:tcPr>
          <w:p w:rsidR="0009292B" w:rsidRPr="00950A25" w:rsidRDefault="0009292B" w:rsidP="00D34384">
            <w:pPr>
              <w:spacing w:after="0" w:line="240" w:lineRule="auto"/>
              <w:ind w:left="113" w:right="113"/>
              <w:jc w:val="center"/>
              <w:rPr>
                <w:rFonts w:ascii="Times New Roman" w:hAnsi="Times New Roman" w:cs="Times New Roman"/>
                <w:b/>
                <w:sz w:val="24"/>
                <w:szCs w:val="24"/>
                <w:lang w:val="uk-UA"/>
              </w:rPr>
            </w:pPr>
            <w:r w:rsidRPr="00950A25">
              <w:rPr>
                <w:rFonts w:ascii="Times New Roman" w:hAnsi="Times New Roman" w:cs="Times New Roman"/>
                <w:b/>
                <w:sz w:val="24"/>
                <w:szCs w:val="24"/>
                <w:lang w:val="uk-UA"/>
              </w:rPr>
              <w:t>№ рядка класифікатора</w:t>
            </w:r>
          </w:p>
        </w:tc>
        <w:tc>
          <w:tcPr>
            <w:tcW w:w="4394" w:type="dxa"/>
            <w:vMerge w:val="restart"/>
            <w:vAlign w:val="center"/>
          </w:tcPr>
          <w:p w:rsidR="0009292B" w:rsidRPr="00950A25" w:rsidRDefault="0009292B" w:rsidP="00D34384">
            <w:pPr>
              <w:spacing w:after="0" w:line="240" w:lineRule="auto"/>
              <w:jc w:val="center"/>
              <w:rPr>
                <w:rFonts w:ascii="Times New Roman" w:hAnsi="Times New Roman" w:cs="Times New Roman"/>
                <w:b/>
                <w:sz w:val="24"/>
                <w:szCs w:val="24"/>
                <w:lang w:val="uk-UA"/>
              </w:rPr>
            </w:pPr>
            <w:r w:rsidRPr="00950A25">
              <w:rPr>
                <w:rFonts w:ascii="Times New Roman" w:hAnsi="Times New Roman" w:cs="Times New Roman"/>
                <w:b/>
                <w:sz w:val="24"/>
                <w:szCs w:val="24"/>
                <w:lang w:val="uk-UA"/>
              </w:rPr>
              <w:t>Категорія</w:t>
            </w:r>
          </w:p>
        </w:tc>
        <w:tc>
          <w:tcPr>
            <w:tcW w:w="4643" w:type="dxa"/>
            <w:gridSpan w:val="4"/>
            <w:vAlign w:val="center"/>
          </w:tcPr>
          <w:p w:rsidR="0009292B" w:rsidRPr="00950A25" w:rsidRDefault="0009292B" w:rsidP="00D34384">
            <w:pPr>
              <w:spacing w:after="0" w:line="240" w:lineRule="auto"/>
              <w:jc w:val="center"/>
              <w:rPr>
                <w:rFonts w:ascii="Times New Roman" w:hAnsi="Times New Roman" w:cs="Times New Roman"/>
                <w:b/>
                <w:sz w:val="24"/>
                <w:szCs w:val="24"/>
                <w:lang w:val="uk-UA"/>
              </w:rPr>
            </w:pPr>
            <w:r w:rsidRPr="00950A25">
              <w:rPr>
                <w:rFonts w:ascii="Times New Roman" w:hAnsi="Times New Roman" w:cs="Times New Roman"/>
                <w:b/>
                <w:sz w:val="24"/>
                <w:szCs w:val="24"/>
                <w:lang w:val="uk-UA"/>
              </w:rPr>
              <w:t>Кількість справ</w:t>
            </w:r>
          </w:p>
        </w:tc>
      </w:tr>
      <w:tr w:rsidR="0009292B" w:rsidRPr="00950A25" w:rsidTr="0009292B">
        <w:trPr>
          <w:trHeight w:val="1452"/>
        </w:trPr>
        <w:tc>
          <w:tcPr>
            <w:tcW w:w="817" w:type="dxa"/>
            <w:vMerge/>
          </w:tcPr>
          <w:p w:rsidR="0009292B" w:rsidRPr="00950A25" w:rsidRDefault="0009292B" w:rsidP="00D34384">
            <w:pPr>
              <w:spacing w:after="0" w:line="240" w:lineRule="auto"/>
              <w:jc w:val="both"/>
              <w:rPr>
                <w:rFonts w:ascii="Times New Roman" w:hAnsi="Times New Roman" w:cs="Times New Roman"/>
                <w:sz w:val="24"/>
                <w:szCs w:val="24"/>
                <w:lang w:val="uk-UA"/>
              </w:rPr>
            </w:pPr>
          </w:p>
        </w:tc>
        <w:tc>
          <w:tcPr>
            <w:tcW w:w="4394" w:type="dxa"/>
            <w:vMerge/>
          </w:tcPr>
          <w:p w:rsidR="0009292B" w:rsidRPr="00950A25" w:rsidRDefault="0009292B" w:rsidP="00D34384">
            <w:pPr>
              <w:spacing w:after="0" w:line="240" w:lineRule="auto"/>
              <w:jc w:val="both"/>
              <w:rPr>
                <w:rFonts w:ascii="Times New Roman" w:hAnsi="Times New Roman" w:cs="Times New Roman"/>
                <w:sz w:val="24"/>
                <w:szCs w:val="24"/>
                <w:lang w:val="uk-UA"/>
              </w:rPr>
            </w:pP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0"/>
                <w:szCs w:val="20"/>
                <w:lang w:val="uk-UA"/>
              </w:rPr>
            </w:pPr>
            <w:r w:rsidRPr="00950A25">
              <w:rPr>
                <w:rFonts w:ascii="Times New Roman" w:hAnsi="Times New Roman" w:cs="Times New Roman"/>
                <w:sz w:val="20"/>
                <w:szCs w:val="20"/>
                <w:lang w:val="uk-UA"/>
              </w:rPr>
              <w:t>Залишок на початок звітного періоду</w:t>
            </w:r>
          </w:p>
        </w:tc>
        <w:tc>
          <w:tcPr>
            <w:tcW w:w="1134" w:type="dxa"/>
            <w:vAlign w:val="center"/>
          </w:tcPr>
          <w:p w:rsidR="0009292B" w:rsidRPr="00950A25" w:rsidRDefault="0009292B" w:rsidP="00D34384">
            <w:pPr>
              <w:spacing w:after="0" w:line="240" w:lineRule="auto"/>
              <w:jc w:val="center"/>
              <w:rPr>
                <w:rFonts w:ascii="Times New Roman" w:hAnsi="Times New Roman" w:cs="Times New Roman"/>
                <w:sz w:val="20"/>
                <w:szCs w:val="20"/>
                <w:lang w:val="uk-UA"/>
              </w:rPr>
            </w:pPr>
            <w:r w:rsidRPr="00950A25">
              <w:rPr>
                <w:rFonts w:ascii="Times New Roman" w:hAnsi="Times New Roman" w:cs="Times New Roman"/>
                <w:sz w:val="20"/>
                <w:szCs w:val="20"/>
                <w:lang w:val="uk-UA"/>
              </w:rPr>
              <w:t>Надійшло у звітному періоді</w:t>
            </w:r>
          </w:p>
        </w:tc>
        <w:tc>
          <w:tcPr>
            <w:tcW w:w="1701" w:type="dxa"/>
            <w:vAlign w:val="center"/>
          </w:tcPr>
          <w:p w:rsidR="0009292B" w:rsidRPr="00950A25" w:rsidRDefault="0009292B" w:rsidP="00D34384">
            <w:pPr>
              <w:spacing w:after="0" w:line="240" w:lineRule="auto"/>
              <w:jc w:val="center"/>
              <w:rPr>
                <w:rFonts w:ascii="Times New Roman" w:hAnsi="Times New Roman" w:cs="Times New Roman"/>
                <w:sz w:val="20"/>
                <w:szCs w:val="20"/>
                <w:lang w:val="uk-UA"/>
              </w:rPr>
            </w:pPr>
            <w:r w:rsidRPr="00950A25">
              <w:rPr>
                <w:rFonts w:ascii="Times New Roman" w:hAnsi="Times New Roman" w:cs="Times New Roman"/>
                <w:sz w:val="20"/>
                <w:szCs w:val="20"/>
                <w:lang w:val="uk-UA"/>
              </w:rPr>
              <w:t>% від загальної кількості справ, що надійшли у звітному періоді</w:t>
            </w:r>
          </w:p>
          <w:p w:rsidR="0009292B" w:rsidRPr="00950A25" w:rsidRDefault="0009292B" w:rsidP="00D34384">
            <w:pPr>
              <w:spacing w:after="0" w:line="240"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3582</w:t>
            </w:r>
            <w:r w:rsidRPr="00950A25">
              <w:rPr>
                <w:rFonts w:ascii="Times New Roman" w:hAnsi="Times New Roman" w:cs="Times New Roman"/>
                <w:sz w:val="20"/>
                <w:szCs w:val="20"/>
                <w:lang w:val="uk-UA"/>
              </w:rPr>
              <w:t xml:space="preserve"> справ</w:t>
            </w:r>
          </w:p>
        </w:tc>
        <w:tc>
          <w:tcPr>
            <w:tcW w:w="815" w:type="dxa"/>
            <w:vAlign w:val="center"/>
          </w:tcPr>
          <w:p w:rsidR="0009292B" w:rsidRPr="00950A25" w:rsidRDefault="0009292B" w:rsidP="00D34384">
            <w:pPr>
              <w:spacing w:after="0" w:line="240" w:lineRule="auto"/>
              <w:jc w:val="center"/>
              <w:rPr>
                <w:rFonts w:ascii="Times New Roman" w:hAnsi="Times New Roman" w:cs="Times New Roman"/>
                <w:sz w:val="20"/>
                <w:szCs w:val="20"/>
                <w:lang w:val="uk-UA"/>
              </w:rPr>
            </w:pPr>
            <w:r w:rsidRPr="00950A25">
              <w:rPr>
                <w:rFonts w:ascii="Times New Roman" w:hAnsi="Times New Roman" w:cs="Times New Roman"/>
                <w:sz w:val="20"/>
                <w:szCs w:val="20"/>
                <w:lang w:val="uk-UA"/>
              </w:rPr>
              <w:t>Всього</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1</w:t>
            </w:r>
          </w:p>
        </w:tc>
        <w:tc>
          <w:tcPr>
            <w:tcW w:w="4394" w:type="dxa"/>
          </w:tcPr>
          <w:p w:rsidR="0009292B" w:rsidRPr="00950A25" w:rsidRDefault="0009292B" w:rsidP="00D34384">
            <w:pPr>
              <w:spacing w:after="0" w:line="240" w:lineRule="auto"/>
              <w:rPr>
                <w:rFonts w:ascii="Times New Roman" w:hAnsi="Times New Roman" w:cs="Times New Roman"/>
                <w:sz w:val="24"/>
                <w:szCs w:val="24"/>
                <w:lang w:val="uk-UA"/>
              </w:rPr>
            </w:pPr>
            <w:r w:rsidRPr="00950A25">
              <w:rPr>
                <w:rFonts w:ascii="Times New Roman" w:hAnsi="Times New Roman" w:cs="Times New Roman"/>
                <w:sz w:val="24"/>
                <w:szCs w:val="24"/>
                <w:lang w:val="uk-UA"/>
              </w:rPr>
              <w:t>Справи зі спорів з приводу забезпечення реалізації громадянами права голосу на виборах і референдумах</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0</w:t>
            </w:r>
          </w:p>
        </w:tc>
        <w:tc>
          <w:tcPr>
            <w:tcW w:w="1134"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5</w:t>
            </w:r>
          </w:p>
        </w:tc>
        <w:tc>
          <w:tcPr>
            <w:tcW w:w="1701" w:type="dxa"/>
            <w:vAlign w:val="center"/>
          </w:tcPr>
          <w:p w:rsidR="0009292B" w:rsidRPr="00950A25" w:rsidRDefault="0009292B" w:rsidP="0067161A">
            <w:pPr>
              <w:spacing w:after="0" w:line="240" w:lineRule="auto"/>
              <w:jc w:val="center"/>
              <w:rPr>
                <w:rFonts w:ascii="Times New Roman" w:hAnsi="Times New Roman" w:cs="Times New Roman"/>
                <w:i/>
                <w:sz w:val="24"/>
                <w:szCs w:val="24"/>
                <w:lang w:val="uk-UA"/>
              </w:rPr>
            </w:pPr>
            <w:r w:rsidRPr="00950A25">
              <w:rPr>
                <w:rFonts w:ascii="Times New Roman" w:hAnsi="Times New Roman" w:cs="Times New Roman"/>
                <w:i/>
                <w:sz w:val="24"/>
                <w:szCs w:val="24"/>
                <w:lang w:val="uk-UA"/>
              </w:rPr>
              <w:t>0,</w:t>
            </w:r>
            <w:r w:rsidR="0067161A">
              <w:rPr>
                <w:rFonts w:ascii="Times New Roman" w:hAnsi="Times New Roman" w:cs="Times New Roman"/>
                <w:i/>
                <w:sz w:val="24"/>
                <w:szCs w:val="24"/>
                <w:lang w:val="uk-UA"/>
              </w:rPr>
              <w:t>13</w:t>
            </w:r>
          </w:p>
        </w:tc>
        <w:tc>
          <w:tcPr>
            <w:tcW w:w="815" w:type="dxa"/>
            <w:vAlign w:val="center"/>
          </w:tcPr>
          <w:p w:rsidR="0009292B" w:rsidRPr="00950A25" w:rsidRDefault="0009292B" w:rsidP="00D34384">
            <w:pPr>
              <w:spacing w:after="0" w:line="240" w:lineRule="auto"/>
              <w:jc w:val="center"/>
              <w:rPr>
                <w:rFonts w:ascii="Times New Roman" w:hAnsi="Times New Roman" w:cs="Times New Roman"/>
                <w:b/>
                <w:sz w:val="24"/>
                <w:szCs w:val="24"/>
                <w:lang w:val="uk-UA"/>
              </w:rPr>
            </w:pPr>
            <w:r w:rsidRPr="00950A25">
              <w:rPr>
                <w:rFonts w:ascii="Times New Roman" w:hAnsi="Times New Roman" w:cs="Times New Roman"/>
                <w:b/>
                <w:sz w:val="24"/>
                <w:szCs w:val="24"/>
                <w:lang w:val="uk-UA"/>
              </w:rPr>
              <w:t>5</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2</w:t>
            </w:r>
          </w:p>
        </w:tc>
        <w:tc>
          <w:tcPr>
            <w:tcW w:w="4394" w:type="dxa"/>
          </w:tcPr>
          <w:p w:rsidR="0009292B" w:rsidRPr="00950A25" w:rsidRDefault="0009292B" w:rsidP="00D34384">
            <w:pPr>
              <w:spacing w:after="0" w:line="240" w:lineRule="auto"/>
              <w:rPr>
                <w:rFonts w:ascii="Times New Roman" w:hAnsi="Times New Roman" w:cs="Times New Roman"/>
                <w:sz w:val="24"/>
                <w:szCs w:val="24"/>
                <w:lang w:val="uk-UA"/>
              </w:rPr>
            </w:pPr>
            <w:r w:rsidRPr="00950A25">
              <w:rPr>
                <w:rFonts w:ascii="Times New Roman" w:hAnsi="Times New Roman" w:cs="Times New Roman"/>
                <w:sz w:val="24"/>
                <w:szCs w:val="24"/>
                <w:lang w:val="uk-UA"/>
              </w:rPr>
              <w:t>Спори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8</w:t>
            </w:r>
          </w:p>
        </w:tc>
        <w:tc>
          <w:tcPr>
            <w:tcW w:w="1134"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701" w:type="dxa"/>
            <w:vAlign w:val="center"/>
          </w:tcPr>
          <w:p w:rsidR="0009292B" w:rsidRPr="00950A25" w:rsidRDefault="0009292B" w:rsidP="0067161A">
            <w:pPr>
              <w:spacing w:after="0" w:line="240" w:lineRule="auto"/>
              <w:jc w:val="center"/>
              <w:rPr>
                <w:rFonts w:ascii="Times New Roman" w:hAnsi="Times New Roman" w:cs="Times New Roman"/>
                <w:i/>
                <w:sz w:val="24"/>
                <w:szCs w:val="24"/>
                <w:lang w:val="uk-UA"/>
              </w:rPr>
            </w:pPr>
            <w:r w:rsidRPr="00950A25">
              <w:rPr>
                <w:rFonts w:ascii="Times New Roman" w:hAnsi="Times New Roman" w:cs="Times New Roman"/>
                <w:i/>
                <w:sz w:val="24"/>
                <w:szCs w:val="24"/>
                <w:lang w:val="uk-UA"/>
              </w:rPr>
              <w:t>1,1</w:t>
            </w:r>
            <w:r w:rsidR="0067161A">
              <w:rPr>
                <w:rFonts w:ascii="Times New Roman" w:hAnsi="Times New Roman" w:cs="Times New Roman"/>
                <w:i/>
                <w:sz w:val="24"/>
                <w:szCs w:val="24"/>
                <w:lang w:val="uk-UA"/>
              </w:rPr>
              <w:t>4</w:t>
            </w:r>
          </w:p>
        </w:tc>
        <w:tc>
          <w:tcPr>
            <w:tcW w:w="815" w:type="dxa"/>
            <w:vAlign w:val="center"/>
          </w:tcPr>
          <w:p w:rsidR="0009292B" w:rsidRPr="00950A25" w:rsidRDefault="0009292B"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49</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3</w:t>
            </w:r>
          </w:p>
        </w:tc>
        <w:tc>
          <w:tcPr>
            <w:tcW w:w="4394" w:type="dxa"/>
          </w:tcPr>
          <w:p w:rsidR="0009292B" w:rsidRPr="00950A25" w:rsidRDefault="0009292B" w:rsidP="00D34384">
            <w:pPr>
              <w:spacing w:after="0" w:line="240" w:lineRule="auto"/>
              <w:jc w:val="both"/>
              <w:rPr>
                <w:rFonts w:ascii="Times New Roman" w:hAnsi="Times New Roman" w:cs="Times New Roman"/>
                <w:sz w:val="24"/>
                <w:szCs w:val="24"/>
                <w:lang w:val="uk-UA"/>
              </w:rPr>
            </w:pPr>
            <w:r w:rsidRPr="00950A25">
              <w:rPr>
                <w:rFonts w:ascii="Times New Roman" w:hAnsi="Times New Roman" w:cs="Times New Roman"/>
                <w:sz w:val="24"/>
                <w:szCs w:val="24"/>
                <w:lang w:val="uk-UA"/>
              </w:rPr>
              <w:t>Спорів з приводу забезпечення громадського порядку та безпеки.</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37</w:t>
            </w:r>
          </w:p>
        </w:tc>
        <w:tc>
          <w:tcPr>
            <w:tcW w:w="1134" w:type="dxa"/>
            <w:vAlign w:val="center"/>
          </w:tcPr>
          <w:p w:rsidR="0009292B" w:rsidRPr="00950A25" w:rsidRDefault="00871BF9"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184</w:t>
            </w:r>
          </w:p>
        </w:tc>
        <w:tc>
          <w:tcPr>
            <w:tcW w:w="1701" w:type="dxa"/>
            <w:vAlign w:val="center"/>
          </w:tcPr>
          <w:p w:rsidR="0009292B" w:rsidRPr="00950A25" w:rsidRDefault="0067161A" w:rsidP="00D34384">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5,13</w:t>
            </w:r>
          </w:p>
        </w:tc>
        <w:tc>
          <w:tcPr>
            <w:tcW w:w="815" w:type="dxa"/>
            <w:vAlign w:val="center"/>
          </w:tcPr>
          <w:p w:rsidR="0009292B" w:rsidRPr="00950A25" w:rsidRDefault="00871BF9"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221</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4</w:t>
            </w:r>
          </w:p>
        </w:tc>
        <w:tc>
          <w:tcPr>
            <w:tcW w:w="4394" w:type="dxa"/>
          </w:tcPr>
          <w:p w:rsidR="0009292B" w:rsidRPr="00950A25" w:rsidRDefault="0009292B" w:rsidP="00D34384">
            <w:pPr>
              <w:spacing w:after="0" w:line="240" w:lineRule="auto"/>
              <w:rPr>
                <w:rFonts w:ascii="Times New Roman" w:hAnsi="Times New Roman" w:cs="Times New Roman"/>
                <w:sz w:val="24"/>
                <w:szCs w:val="24"/>
                <w:lang w:val="uk-UA"/>
              </w:rPr>
            </w:pPr>
            <w:r w:rsidRPr="00950A25">
              <w:rPr>
                <w:rFonts w:ascii="Times New Roman" w:hAnsi="Times New Roman" w:cs="Times New Roman"/>
                <w:sz w:val="24"/>
                <w:szCs w:val="24"/>
                <w:lang w:val="uk-UA"/>
              </w:rPr>
              <w:t>Спори з приводу реалізації державної політики у сфері освіти, науки, культури та спорту.</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2</w:t>
            </w:r>
          </w:p>
        </w:tc>
        <w:tc>
          <w:tcPr>
            <w:tcW w:w="1134" w:type="dxa"/>
            <w:vAlign w:val="center"/>
          </w:tcPr>
          <w:p w:rsidR="0009292B" w:rsidRPr="00950A25" w:rsidRDefault="00871BF9"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701" w:type="dxa"/>
            <w:vAlign w:val="center"/>
          </w:tcPr>
          <w:p w:rsidR="0009292B" w:rsidRPr="00950A25" w:rsidRDefault="0009292B" w:rsidP="0067161A">
            <w:pPr>
              <w:spacing w:after="0" w:line="240" w:lineRule="auto"/>
              <w:jc w:val="center"/>
              <w:rPr>
                <w:rFonts w:ascii="Times New Roman" w:hAnsi="Times New Roman" w:cs="Times New Roman"/>
                <w:i/>
                <w:sz w:val="24"/>
                <w:szCs w:val="24"/>
                <w:lang w:val="uk-UA"/>
              </w:rPr>
            </w:pPr>
            <w:r w:rsidRPr="00950A25">
              <w:rPr>
                <w:rFonts w:ascii="Times New Roman" w:hAnsi="Times New Roman" w:cs="Times New Roman"/>
                <w:i/>
                <w:sz w:val="24"/>
                <w:szCs w:val="24"/>
                <w:lang w:val="uk-UA"/>
              </w:rPr>
              <w:t>0,1</w:t>
            </w:r>
            <w:r w:rsidR="0067161A">
              <w:rPr>
                <w:rFonts w:ascii="Times New Roman" w:hAnsi="Times New Roman" w:cs="Times New Roman"/>
                <w:i/>
                <w:sz w:val="24"/>
                <w:szCs w:val="24"/>
                <w:lang w:val="uk-UA"/>
              </w:rPr>
              <w:t>3</w:t>
            </w:r>
          </w:p>
        </w:tc>
        <w:tc>
          <w:tcPr>
            <w:tcW w:w="815" w:type="dxa"/>
            <w:vAlign w:val="center"/>
          </w:tcPr>
          <w:p w:rsidR="0009292B" w:rsidRPr="00950A25" w:rsidRDefault="00871BF9"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5</w:t>
            </w:r>
          </w:p>
        </w:tc>
        <w:tc>
          <w:tcPr>
            <w:tcW w:w="4394" w:type="dxa"/>
          </w:tcPr>
          <w:p w:rsidR="0009292B" w:rsidRPr="00950A25" w:rsidRDefault="0009292B" w:rsidP="00D34384">
            <w:pPr>
              <w:spacing w:after="0" w:line="240" w:lineRule="auto"/>
              <w:jc w:val="both"/>
              <w:rPr>
                <w:rFonts w:ascii="Times New Roman" w:hAnsi="Times New Roman" w:cs="Times New Roman"/>
                <w:sz w:val="24"/>
                <w:szCs w:val="24"/>
                <w:lang w:val="uk-UA"/>
              </w:rPr>
            </w:pPr>
            <w:r w:rsidRPr="00950A25">
              <w:rPr>
                <w:rFonts w:ascii="Times New Roman" w:hAnsi="Times New Roman" w:cs="Times New Roman"/>
                <w:sz w:val="24"/>
                <w:szCs w:val="24"/>
                <w:lang w:val="uk-UA"/>
              </w:rPr>
              <w:t>Спори з приводу реалізації державної політики у сфері економіки.</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43</w:t>
            </w:r>
          </w:p>
        </w:tc>
        <w:tc>
          <w:tcPr>
            <w:tcW w:w="1134" w:type="dxa"/>
            <w:vAlign w:val="center"/>
          </w:tcPr>
          <w:p w:rsidR="0009292B" w:rsidRPr="00950A25" w:rsidRDefault="00871BF9"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w:t>
            </w:r>
          </w:p>
        </w:tc>
        <w:tc>
          <w:tcPr>
            <w:tcW w:w="1701" w:type="dxa"/>
            <w:vAlign w:val="center"/>
          </w:tcPr>
          <w:p w:rsidR="0009292B" w:rsidRPr="00950A25" w:rsidRDefault="0009292B" w:rsidP="0067161A">
            <w:pPr>
              <w:spacing w:after="0" w:line="240" w:lineRule="auto"/>
              <w:jc w:val="center"/>
              <w:rPr>
                <w:rFonts w:ascii="Times New Roman" w:hAnsi="Times New Roman" w:cs="Times New Roman"/>
                <w:i/>
                <w:sz w:val="24"/>
                <w:szCs w:val="24"/>
                <w:lang w:val="uk-UA"/>
              </w:rPr>
            </w:pPr>
            <w:r w:rsidRPr="00950A25">
              <w:rPr>
                <w:rFonts w:ascii="Times New Roman" w:hAnsi="Times New Roman" w:cs="Times New Roman"/>
                <w:i/>
                <w:sz w:val="24"/>
                <w:szCs w:val="24"/>
                <w:lang w:val="uk-UA"/>
              </w:rPr>
              <w:t>4,</w:t>
            </w:r>
            <w:r w:rsidR="0067161A">
              <w:rPr>
                <w:rFonts w:ascii="Times New Roman" w:hAnsi="Times New Roman" w:cs="Times New Roman"/>
                <w:i/>
                <w:sz w:val="24"/>
                <w:szCs w:val="24"/>
                <w:lang w:val="uk-UA"/>
              </w:rPr>
              <w:t>21</w:t>
            </w:r>
          </w:p>
        </w:tc>
        <w:tc>
          <w:tcPr>
            <w:tcW w:w="815" w:type="dxa"/>
            <w:vAlign w:val="center"/>
          </w:tcPr>
          <w:p w:rsidR="0009292B" w:rsidRPr="00950A25" w:rsidRDefault="00871BF9"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194</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6</w:t>
            </w:r>
          </w:p>
        </w:tc>
        <w:tc>
          <w:tcPr>
            <w:tcW w:w="4394" w:type="dxa"/>
          </w:tcPr>
          <w:p w:rsidR="0009292B" w:rsidRPr="00950A25" w:rsidRDefault="0009292B" w:rsidP="00D34384">
            <w:pPr>
              <w:spacing w:after="0" w:line="240" w:lineRule="auto"/>
              <w:jc w:val="both"/>
              <w:rPr>
                <w:rFonts w:ascii="Times New Roman" w:hAnsi="Times New Roman" w:cs="Times New Roman"/>
                <w:sz w:val="24"/>
                <w:szCs w:val="24"/>
                <w:lang w:val="uk-UA"/>
              </w:rPr>
            </w:pPr>
            <w:r w:rsidRPr="00950A25">
              <w:rPr>
                <w:rFonts w:ascii="Times New Roman" w:hAnsi="Times New Roman" w:cs="Times New Roman"/>
                <w:sz w:val="24"/>
                <w:szCs w:val="24"/>
                <w:lang w:val="uk-UA"/>
              </w:rPr>
              <w:t>Спори з приводу забезпечення сталого розвитку населених пунктів та землекористування</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40</w:t>
            </w:r>
          </w:p>
        </w:tc>
        <w:tc>
          <w:tcPr>
            <w:tcW w:w="1134" w:type="dxa"/>
            <w:vAlign w:val="center"/>
          </w:tcPr>
          <w:p w:rsidR="0009292B" w:rsidRPr="00950A25" w:rsidRDefault="00882E34"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134</w:t>
            </w:r>
          </w:p>
        </w:tc>
        <w:tc>
          <w:tcPr>
            <w:tcW w:w="1701" w:type="dxa"/>
            <w:vAlign w:val="center"/>
          </w:tcPr>
          <w:p w:rsidR="0009292B" w:rsidRPr="00950A25" w:rsidRDefault="0067161A" w:rsidP="00D34384">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3,74</w:t>
            </w:r>
          </w:p>
        </w:tc>
        <w:tc>
          <w:tcPr>
            <w:tcW w:w="815" w:type="dxa"/>
            <w:vAlign w:val="center"/>
          </w:tcPr>
          <w:p w:rsidR="0009292B" w:rsidRPr="00950A25" w:rsidRDefault="00871BF9"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174</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7</w:t>
            </w:r>
          </w:p>
        </w:tc>
        <w:tc>
          <w:tcPr>
            <w:tcW w:w="4394" w:type="dxa"/>
          </w:tcPr>
          <w:p w:rsidR="0009292B" w:rsidRPr="00950A25" w:rsidRDefault="0009292B" w:rsidP="00D34384">
            <w:pPr>
              <w:spacing w:after="0" w:line="240" w:lineRule="auto"/>
              <w:rPr>
                <w:rFonts w:ascii="Times New Roman" w:hAnsi="Times New Roman" w:cs="Times New Roman"/>
                <w:sz w:val="24"/>
                <w:szCs w:val="24"/>
                <w:lang w:val="uk-UA"/>
              </w:rPr>
            </w:pPr>
            <w:r w:rsidRPr="00950A25">
              <w:rPr>
                <w:rFonts w:ascii="Times New Roman" w:hAnsi="Times New Roman" w:cs="Times New Roman"/>
                <w:sz w:val="24"/>
                <w:szCs w:val="24"/>
                <w:lang w:val="uk-UA"/>
              </w:rPr>
              <w:t>Спори з приводу охорони навколишнього природного середовища</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3</w:t>
            </w:r>
          </w:p>
        </w:tc>
        <w:tc>
          <w:tcPr>
            <w:tcW w:w="1134" w:type="dxa"/>
            <w:vAlign w:val="center"/>
          </w:tcPr>
          <w:p w:rsidR="0009292B" w:rsidRPr="00950A25" w:rsidRDefault="00871BF9"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701" w:type="dxa"/>
            <w:vAlign w:val="center"/>
          </w:tcPr>
          <w:p w:rsidR="0009292B" w:rsidRPr="00950A25" w:rsidRDefault="0009292B" w:rsidP="0067161A">
            <w:pPr>
              <w:spacing w:after="0" w:line="240" w:lineRule="auto"/>
              <w:jc w:val="center"/>
              <w:rPr>
                <w:rFonts w:ascii="Times New Roman" w:hAnsi="Times New Roman" w:cs="Times New Roman"/>
                <w:i/>
                <w:sz w:val="24"/>
                <w:szCs w:val="24"/>
                <w:lang w:val="uk-UA"/>
              </w:rPr>
            </w:pPr>
            <w:r w:rsidRPr="00950A25">
              <w:rPr>
                <w:rFonts w:ascii="Times New Roman" w:hAnsi="Times New Roman" w:cs="Times New Roman"/>
                <w:i/>
                <w:sz w:val="24"/>
                <w:szCs w:val="24"/>
                <w:lang w:val="uk-UA"/>
              </w:rPr>
              <w:t>0,</w:t>
            </w:r>
            <w:r w:rsidR="0067161A">
              <w:rPr>
                <w:rFonts w:ascii="Times New Roman" w:hAnsi="Times New Roman" w:cs="Times New Roman"/>
                <w:i/>
                <w:sz w:val="24"/>
                <w:szCs w:val="24"/>
                <w:lang w:val="uk-UA"/>
              </w:rPr>
              <w:t>61</w:t>
            </w:r>
          </w:p>
        </w:tc>
        <w:tc>
          <w:tcPr>
            <w:tcW w:w="815" w:type="dxa"/>
            <w:vAlign w:val="center"/>
          </w:tcPr>
          <w:p w:rsidR="0009292B" w:rsidRPr="00950A25" w:rsidRDefault="00871BF9"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25</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lastRenderedPageBreak/>
              <w:t>8</w:t>
            </w:r>
          </w:p>
        </w:tc>
        <w:tc>
          <w:tcPr>
            <w:tcW w:w="4394" w:type="dxa"/>
          </w:tcPr>
          <w:p w:rsidR="0009292B" w:rsidRPr="00950A25" w:rsidRDefault="0009292B" w:rsidP="00D34384">
            <w:pPr>
              <w:spacing w:after="0" w:line="240" w:lineRule="auto"/>
              <w:rPr>
                <w:rFonts w:ascii="Times New Roman" w:hAnsi="Times New Roman" w:cs="Times New Roman"/>
                <w:sz w:val="24"/>
                <w:szCs w:val="24"/>
                <w:lang w:val="uk-UA"/>
              </w:rPr>
            </w:pPr>
            <w:r w:rsidRPr="00950A25">
              <w:rPr>
                <w:rFonts w:ascii="Times New Roman" w:hAnsi="Times New Roman" w:cs="Times New Roman"/>
                <w:sz w:val="24"/>
                <w:szCs w:val="24"/>
                <w:lang w:val="uk-UA"/>
              </w:rPr>
              <w:t>Спори з приводу адміністрування податків, зборів, платежів, контроль за дотриманням вимог податкового законодавства</w:t>
            </w:r>
          </w:p>
          <w:p w:rsidR="0009292B" w:rsidRPr="00950A25" w:rsidRDefault="0009292B" w:rsidP="00D34384">
            <w:pPr>
              <w:spacing w:after="0" w:line="240" w:lineRule="auto"/>
              <w:rPr>
                <w:rFonts w:ascii="Times New Roman" w:hAnsi="Times New Roman" w:cs="Times New Roman"/>
                <w:sz w:val="24"/>
                <w:szCs w:val="24"/>
                <w:lang w:val="uk-UA"/>
              </w:rPr>
            </w:pP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485</w:t>
            </w:r>
          </w:p>
        </w:tc>
        <w:tc>
          <w:tcPr>
            <w:tcW w:w="1134" w:type="dxa"/>
            <w:vAlign w:val="center"/>
          </w:tcPr>
          <w:p w:rsidR="0009292B" w:rsidRPr="00950A25" w:rsidRDefault="00871BF9"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1400</w:t>
            </w:r>
          </w:p>
        </w:tc>
        <w:tc>
          <w:tcPr>
            <w:tcW w:w="1701" w:type="dxa"/>
            <w:vAlign w:val="center"/>
          </w:tcPr>
          <w:p w:rsidR="0009292B" w:rsidRPr="00950A25" w:rsidRDefault="0067161A" w:rsidP="00D34384">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39,08</w:t>
            </w:r>
          </w:p>
        </w:tc>
        <w:tc>
          <w:tcPr>
            <w:tcW w:w="815" w:type="dxa"/>
            <w:vAlign w:val="center"/>
          </w:tcPr>
          <w:p w:rsidR="0009292B" w:rsidRPr="00950A25" w:rsidRDefault="00871BF9"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1885</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9</w:t>
            </w:r>
          </w:p>
        </w:tc>
        <w:tc>
          <w:tcPr>
            <w:tcW w:w="4394" w:type="dxa"/>
          </w:tcPr>
          <w:p w:rsidR="0009292B" w:rsidRPr="00950A25" w:rsidRDefault="0009292B" w:rsidP="00D34384">
            <w:pPr>
              <w:spacing w:after="0" w:line="240" w:lineRule="auto"/>
              <w:jc w:val="both"/>
              <w:rPr>
                <w:rFonts w:ascii="Times New Roman" w:hAnsi="Times New Roman" w:cs="Times New Roman"/>
                <w:sz w:val="24"/>
                <w:szCs w:val="24"/>
                <w:lang w:val="uk-UA"/>
              </w:rPr>
            </w:pPr>
            <w:r w:rsidRPr="00950A25">
              <w:rPr>
                <w:rFonts w:ascii="Times New Roman" w:hAnsi="Times New Roman" w:cs="Times New Roman"/>
                <w:sz w:val="24"/>
                <w:szCs w:val="24"/>
                <w:lang w:val="uk-UA"/>
              </w:rPr>
              <w:t>Спори з приводу реалізації публічної фінансової політики</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62</w:t>
            </w:r>
          </w:p>
        </w:tc>
        <w:tc>
          <w:tcPr>
            <w:tcW w:w="1134" w:type="dxa"/>
            <w:vAlign w:val="center"/>
          </w:tcPr>
          <w:p w:rsidR="0009292B" w:rsidRPr="00950A25" w:rsidRDefault="00871BF9"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195</w:t>
            </w:r>
          </w:p>
        </w:tc>
        <w:tc>
          <w:tcPr>
            <w:tcW w:w="1701" w:type="dxa"/>
            <w:vAlign w:val="center"/>
          </w:tcPr>
          <w:p w:rsidR="0009292B" w:rsidRPr="00950A25" w:rsidRDefault="007A1B9A" w:rsidP="00D34384">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5,44</w:t>
            </w:r>
          </w:p>
        </w:tc>
        <w:tc>
          <w:tcPr>
            <w:tcW w:w="815" w:type="dxa"/>
            <w:vAlign w:val="center"/>
          </w:tcPr>
          <w:p w:rsidR="0009292B" w:rsidRPr="00950A25" w:rsidRDefault="00871BF9"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257</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10</w:t>
            </w:r>
          </w:p>
        </w:tc>
        <w:tc>
          <w:tcPr>
            <w:tcW w:w="4394" w:type="dxa"/>
          </w:tcPr>
          <w:p w:rsidR="0009292B" w:rsidRPr="00950A25" w:rsidRDefault="0009292B" w:rsidP="00D34384">
            <w:pPr>
              <w:spacing w:after="0" w:line="240" w:lineRule="auto"/>
              <w:jc w:val="both"/>
              <w:rPr>
                <w:rFonts w:ascii="Times New Roman" w:hAnsi="Times New Roman" w:cs="Times New Roman"/>
                <w:sz w:val="24"/>
                <w:szCs w:val="24"/>
                <w:lang w:val="uk-UA"/>
              </w:rPr>
            </w:pPr>
            <w:r w:rsidRPr="00950A25">
              <w:rPr>
                <w:rFonts w:ascii="Times New Roman" w:hAnsi="Times New Roman" w:cs="Times New Roman"/>
                <w:sz w:val="24"/>
                <w:szCs w:val="24"/>
                <w:lang w:val="uk-UA"/>
              </w:rPr>
              <w:t>Спори з приводу реалізації публічної політики у сферах праці, зайнятості населення та соціального захисту громадян</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38</w:t>
            </w:r>
          </w:p>
        </w:tc>
        <w:tc>
          <w:tcPr>
            <w:tcW w:w="1134" w:type="dxa"/>
            <w:vAlign w:val="center"/>
          </w:tcPr>
          <w:p w:rsidR="0009292B" w:rsidRPr="00950A25" w:rsidRDefault="00871BF9"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1091</w:t>
            </w:r>
          </w:p>
        </w:tc>
        <w:tc>
          <w:tcPr>
            <w:tcW w:w="1701" w:type="dxa"/>
            <w:vAlign w:val="center"/>
          </w:tcPr>
          <w:p w:rsidR="0009292B" w:rsidRPr="00950A25" w:rsidRDefault="007A1B9A" w:rsidP="00D34384">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30,45</w:t>
            </w:r>
          </w:p>
        </w:tc>
        <w:tc>
          <w:tcPr>
            <w:tcW w:w="815" w:type="dxa"/>
            <w:vAlign w:val="center"/>
          </w:tcPr>
          <w:p w:rsidR="0009292B" w:rsidRPr="00950A25" w:rsidRDefault="00871BF9"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1129</w:t>
            </w:r>
          </w:p>
        </w:tc>
      </w:tr>
      <w:tr w:rsidR="0009292B" w:rsidRPr="00950A25" w:rsidTr="0009292B">
        <w:trPr>
          <w:trHeight w:val="365"/>
        </w:trPr>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11</w:t>
            </w:r>
          </w:p>
        </w:tc>
        <w:tc>
          <w:tcPr>
            <w:tcW w:w="4394" w:type="dxa"/>
          </w:tcPr>
          <w:p w:rsidR="0009292B" w:rsidRPr="00950A25" w:rsidRDefault="0009292B" w:rsidP="00D34384">
            <w:pPr>
              <w:spacing w:after="0" w:line="240" w:lineRule="auto"/>
              <w:jc w:val="both"/>
              <w:rPr>
                <w:rFonts w:ascii="Times New Roman" w:hAnsi="Times New Roman" w:cs="Times New Roman"/>
                <w:sz w:val="24"/>
                <w:szCs w:val="24"/>
                <w:lang w:val="uk-UA"/>
              </w:rPr>
            </w:pPr>
            <w:r w:rsidRPr="00950A25">
              <w:rPr>
                <w:rFonts w:ascii="Times New Roman" w:hAnsi="Times New Roman" w:cs="Times New Roman"/>
                <w:sz w:val="24"/>
                <w:szCs w:val="24"/>
                <w:lang w:val="uk-UA"/>
              </w:rPr>
              <w:t>Спори з приводу забезпечення юстиції</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13</w:t>
            </w:r>
          </w:p>
        </w:tc>
        <w:tc>
          <w:tcPr>
            <w:tcW w:w="1134" w:type="dxa"/>
            <w:vAlign w:val="center"/>
          </w:tcPr>
          <w:p w:rsidR="0009292B" w:rsidRPr="00950A25" w:rsidRDefault="004F12D4"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109</w:t>
            </w:r>
          </w:p>
        </w:tc>
        <w:tc>
          <w:tcPr>
            <w:tcW w:w="1701" w:type="dxa"/>
            <w:vAlign w:val="center"/>
          </w:tcPr>
          <w:p w:rsidR="0009292B" w:rsidRPr="00950A25" w:rsidRDefault="007A1B9A" w:rsidP="00D34384">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3,04</w:t>
            </w:r>
          </w:p>
        </w:tc>
        <w:tc>
          <w:tcPr>
            <w:tcW w:w="815" w:type="dxa"/>
            <w:vAlign w:val="center"/>
          </w:tcPr>
          <w:p w:rsidR="0009292B" w:rsidRPr="00950A25" w:rsidRDefault="004F12D4"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122</w:t>
            </w:r>
          </w:p>
        </w:tc>
      </w:tr>
      <w:tr w:rsidR="0009292B" w:rsidRPr="00950A25" w:rsidTr="0009292B">
        <w:trPr>
          <w:trHeight w:val="355"/>
        </w:trPr>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12</w:t>
            </w:r>
          </w:p>
        </w:tc>
        <w:tc>
          <w:tcPr>
            <w:tcW w:w="4394" w:type="dxa"/>
          </w:tcPr>
          <w:p w:rsidR="0009292B" w:rsidRPr="00950A25" w:rsidRDefault="0009292B" w:rsidP="00D34384">
            <w:pPr>
              <w:spacing w:after="0" w:line="240" w:lineRule="auto"/>
              <w:jc w:val="both"/>
              <w:rPr>
                <w:rFonts w:ascii="Times New Roman" w:hAnsi="Times New Roman" w:cs="Times New Roman"/>
                <w:sz w:val="24"/>
                <w:szCs w:val="24"/>
                <w:lang w:val="uk-UA"/>
              </w:rPr>
            </w:pPr>
            <w:r w:rsidRPr="00950A25">
              <w:rPr>
                <w:rFonts w:ascii="Times New Roman" w:hAnsi="Times New Roman" w:cs="Times New Roman"/>
                <w:sz w:val="24"/>
                <w:szCs w:val="24"/>
                <w:lang w:val="uk-UA"/>
              </w:rPr>
              <w:t>Спори з відносин публічної служби</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54</w:t>
            </w:r>
          </w:p>
        </w:tc>
        <w:tc>
          <w:tcPr>
            <w:tcW w:w="1134" w:type="dxa"/>
            <w:vAlign w:val="center"/>
          </w:tcPr>
          <w:p w:rsidR="0009292B" w:rsidRPr="00950A25" w:rsidRDefault="004F12D4" w:rsidP="00D3438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245</w:t>
            </w:r>
          </w:p>
        </w:tc>
        <w:tc>
          <w:tcPr>
            <w:tcW w:w="1701" w:type="dxa"/>
            <w:vAlign w:val="center"/>
          </w:tcPr>
          <w:p w:rsidR="0009292B" w:rsidRPr="00950A25" w:rsidRDefault="007A1B9A" w:rsidP="00D34384">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6,83</w:t>
            </w:r>
          </w:p>
        </w:tc>
        <w:tc>
          <w:tcPr>
            <w:tcW w:w="815" w:type="dxa"/>
            <w:vAlign w:val="center"/>
          </w:tcPr>
          <w:p w:rsidR="0009292B" w:rsidRPr="00950A25" w:rsidRDefault="004F12D4"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299</w:t>
            </w:r>
          </w:p>
        </w:tc>
      </w:tr>
      <w:tr w:rsidR="0009292B" w:rsidRPr="00950A25" w:rsidTr="0009292B">
        <w:tc>
          <w:tcPr>
            <w:tcW w:w="817"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14</w:t>
            </w:r>
          </w:p>
        </w:tc>
        <w:tc>
          <w:tcPr>
            <w:tcW w:w="4394" w:type="dxa"/>
          </w:tcPr>
          <w:p w:rsidR="0009292B" w:rsidRPr="00950A25" w:rsidRDefault="0009292B" w:rsidP="00D34384">
            <w:pPr>
              <w:spacing w:after="0" w:line="240" w:lineRule="auto"/>
              <w:jc w:val="both"/>
              <w:rPr>
                <w:rFonts w:ascii="Times New Roman" w:hAnsi="Times New Roman" w:cs="Times New Roman"/>
                <w:sz w:val="24"/>
                <w:szCs w:val="24"/>
                <w:lang w:val="uk-UA"/>
              </w:rPr>
            </w:pPr>
            <w:r w:rsidRPr="00950A25">
              <w:rPr>
                <w:rFonts w:ascii="Times New Roman" w:hAnsi="Times New Roman" w:cs="Times New Roman"/>
                <w:sz w:val="24"/>
                <w:szCs w:val="24"/>
                <w:lang w:val="uk-UA"/>
              </w:rPr>
              <w:t>Інші справи</w:t>
            </w:r>
          </w:p>
        </w:tc>
        <w:tc>
          <w:tcPr>
            <w:tcW w:w="993"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0</w:t>
            </w:r>
          </w:p>
        </w:tc>
        <w:tc>
          <w:tcPr>
            <w:tcW w:w="1134" w:type="dxa"/>
            <w:vAlign w:val="center"/>
          </w:tcPr>
          <w:p w:rsidR="0009292B" w:rsidRPr="00950A25" w:rsidRDefault="0009292B" w:rsidP="00D34384">
            <w:pPr>
              <w:spacing w:after="0" w:line="240" w:lineRule="auto"/>
              <w:jc w:val="center"/>
              <w:rPr>
                <w:rFonts w:ascii="Times New Roman" w:hAnsi="Times New Roman" w:cs="Times New Roman"/>
                <w:sz w:val="24"/>
                <w:szCs w:val="24"/>
                <w:lang w:val="uk-UA"/>
              </w:rPr>
            </w:pPr>
            <w:r w:rsidRPr="00950A25">
              <w:rPr>
                <w:rFonts w:ascii="Times New Roman" w:hAnsi="Times New Roman" w:cs="Times New Roman"/>
                <w:sz w:val="24"/>
                <w:szCs w:val="24"/>
                <w:lang w:val="uk-UA"/>
              </w:rPr>
              <w:t>0</w:t>
            </w:r>
          </w:p>
        </w:tc>
        <w:tc>
          <w:tcPr>
            <w:tcW w:w="1701" w:type="dxa"/>
            <w:vAlign w:val="center"/>
          </w:tcPr>
          <w:p w:rsidR="0009292B" w:rsidRPr="00950A25" w:rsidRDefault="0009292B" w:rsidP="00D34384">
            <w:pPr>
              <w:spacing w:after="0" w:line="240" w:lineRule="auto"/>
              <w:jc w:val="center"/>
              <w:rPr>
                <w:rFonts w:ascii="Times New Roman" w:hAnsi="Times New Roman" w:cs="Times New Roman"/>
                <w:i/>
                <w:sz w:val="24"/>
                <w:szCs w:val="24"/>
                <w:lang w:val="uk-UA"/>
              </w:rPr>
            </w:pPr>
            <w:r w:rsidRPr="00950A25">
              <w:rPr>
                <w:rFonts w:ascii="Times New Roman" w:hAnsi="Times New Roman" w:cs="Times New Roman"/>
                <w:i/>
                <w:sz w:val="24"/>
                <w:szCs w:val="24"/>
                <w:lang w:val="uk-UA"/>
              </w:rPr>
              <w:t>0</w:t>
            </w:r>
          </w:p>
        </w:tc>
        <w:tc>
          <w:tcPr>
            <w:tcW w:w="815" w:type="dxa"/>
            <w:vAlign w:val="center"/>
          </w:tcPr>
          <w:p w:rsidR="0009292B" w:rsidRPr="00950A25" w:rsidRDefault="0009292B" w:rsidP="00D34384">
            <w:pPr>
              <w:spacing w:after="0" w:line="240" w:lineRule="auto"/>
              <w:jc w:val="center"/>
              <w:rPr>
                <w:rFonts w:ascii="Times New Roman" w:hAnsi="Times New Roman" w:cs="Times New Roman"/>
                <w:b/>
                <w:sz w:val="24"/>
                <w:szCs w:val="24"/>
                <w:lang w:val="uk-UA"/>
              </w:rPr>
            </w:pPr>
            <w:r w:rsidRPr="00950A25">
              <w:rPr>
                <w:rFonts w:ascii="Times New Roman" w:hAnsi="Times New Roman" w:cs="Times New Roman"/>
                <w:b/>
                <w:sz w:val="24"/>
                <w:szCs w:val="24"/>
                <w:lang w:val="uk-UA"/>
              </w:rPr>
              <w:t>0</w:t>
            </w:r>
          </w:p>
        </w:tc>
      </w:tr>
      <w:tr w:rsidR="0009292B" w:rsidRPr="00950A25" w:rsidTr="0009292B">
        <w:trPr>
          <w:trHeight w:val="632"/>
        </w:trPr>
        <w:tc>
          <w:tcPr>
            <w:tcW w:w="5211" w:type="dxa"/>
            <w:gridSpan w:val="2"/>
            <w:vAlign w:val="center"/>
          </w:tcPr>
          <w:p w:rsidR="0009292B" w:rsidRPr="00950A25" w:rsidRDefault="0009292B" w:rsidP="00D34384">
            <w:pPr>
              <w:spacing w:after="0" w:line="240" w:lineRule="auto"/>
              <w:jc w:val="both"/>
              <w:rPr>
                <w:rFonts w:ascii="Times New Roman" w:hAnsi="Times New Roman" w:cs="Times New Roman"/>
                <w:b/>
                <w:sz w:val="24"/>
                <w:szCs w:val="24"/>
                <w:lang w:val="uk-UA"/>
              </w:rPr>
            </w:pPr>
            <w:r w:rsidRPr="00950A25">
              <w:rPr>
                <w:rFonts w:ascii="Times New Roman" w:hAnsi="Times New Roman" w:cs="Times New Roman"/>
                <w:b/>
                <w:sz w:val="24"/>
                <w:szCs w:val="24"/>
                <w:lang w:val="uk-UA"/>
              </w:rPr>
              <w:t>Всього:</w:t>
            </w:r>
          </w:p>
        </w:tc>
        <w:tc>
          <w:tcPr>
            <w:tcW w:w="993" w:type="dxa"/>
            <w:vAlign w:val="center"/>
          </w:tcPr>
          <w:p w:rsidR="0009292B" w:rsidRPr="00950A25" w:rsidRDefault="0009292B" w:rsidP="00D34384">
            <w:pPr>
              <w:spacing w:after="0" w:line="240" w:lineRule="auto"/>
              <w:jc w:val="center"/>
              <w:rPr>
                <w:rFonts w:ascii="Times New Roman" w:hAnsi="Times New Roman" w:cs="Times New Roman"/>
                <w:b/>
                <w:sz w:val="24"/>
                <w:szCs w:val="24"/>
                <w:lang w:val="uk-UA"/>
              </w:rPr>
            </w:pPr>
            <w:r w:rsidRPr="00950A25">
              <w:rPr>
                <w:rFonts w:ascii="Times New Roman" w:hAnsi="Times New Roman" w:cs="Times New Roman"/>
                <w:b/>
                <w:sz w:val="24"/>
                <w:szCs w:val="24"/>
                <w:lang w:val="uk-UA"/>
              </w:rPr>
              <w:t>785</w:t>
            </w:r>
          </w:p>
        </w:tc>
        <w:tc>
          <w:tcPr>
            <w:tcW w:w="1134" w:type="dxa"/>
            <w:vAlign w:val="center"/>
          </w:tcPr>
          <w:p w:rsidR="0009292B" w:rsidRPr="00950A25" w:rsidRDefault="004F12D4"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3582</w:t>
            </w:r>
          </w:p>
        </w:tc>
        <w:tc>
          <w:tcPr>
            <w:tcW w:w="1701" w:type="dxa"/>
            <w:vAlign w:val="center"/>
          </w:tcPr>
          <w:p w:rsidR="0009292B" w:rsidRPr="00950A25" w:rsidRDefault="0009292B" w:rsidP="00D34384">
            <w:pPr>
              <w:spacing w:after="0" w:line="240" w:lineRule="auto"/>
              <w:jc w:val="center"/>
              <w:rPr>
                <w:rFonts w:ascii="Times New Roman" w:hAnsi="Times New Roman" w:cs="Times New Roman"/>
                <w:i/>
                <w:sz w:val="24"/>
                <w:szCs w:val="24"/>
                <w:lang w:val="uk-UA"/>
              </w:rPr>
            </w:pPr>
          </w:p>
        </w:tc>
        <w:tc>
          <w:tcPr>
            <w:tcW w:w="815" w:type="dxa"/>
            <w:vAlign w:val="center"/>
          </w:tcPr>
          <w:p w:rsidR="0009292B" w:rsidRPr="00950A25" w:rsidRDefault="001F58D3" w:rsidP="00D3438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4367</w:t>
            </w:r>
          </w:p>
        </w:tc>
      </w:tr>
    </w:tbl>
    <w:p w:rsidR="0009292B" w:rsidRDefault="0009292B" w:rsidP="0065693F">
      <w:pPr>
        <w:spacing w:after="0" w:line="240" w:lineRule="auto"/>
        <w:ind w:firstLine="709"/>
        <w:jc w:val="both"/>
        <w:rPr>
          <w:rFonts w:ascii="Times New Roman" w:hAnsi="Times New Roman"/>
          <w:sz w:val="24"/>
          <w:szCs w:val="24"/>
          <w:lang w:val="uk-UA"/>
        </w:rPr>
      </w:pPr>
    </w:p>
    <w:p w:rsidR="009F4E3F" w:rsidRPr="00331A56" w:rsidRDefault="009F4E3F" w:rsidP="0013480F">
      <w:pPr>
        <w:tabs>
          <w:tab w:val="left" w:pos="567"/>
        </w:tabs>
        <w:spacing w:after="0" w:line="240" w:lineRule="auto"/>
        <w:jc w:val="center"/>
        <w:rPr>
          <w:rFonts w:ascii="Times New Roman" w:hAnsi="Times New Roman" w:cs="Times New Roman"/>
          <w:b/>
          <w:sz w:val="24"/>
          <w:szCs w:val="24"/>
          <w:lang w:val="uk-UA"/>
        </w:rPr>
      </w:pPr>
      <w:r w:rsidRPr="00331A56">
        <w:rPr>
          <w:rFonts w:ascii="Times New Roman" w:hAnsi="Times New Roman" w:cs="Times New Roman"/>
          <w:b/>
          <w:sz w:val="24"/>
          <w:szCs w:val="24"/>
          <w:lang w:val="uk-UA"/>
        </w:rPr>
        <w:t>К</w:t>
      </w:r>
      <w:r w:rsidR="00D33F3B" w:rsidRPr="00331A56">
        <w:rPr>
          <w:rFonts w:ascii="Times New Roman" w:hAnsi="Times New Roman" w:cs="Times New Roman"/>
          <w:b/>
          <w:sz w:val="24"/>
          <w:szCs w:val="24"/>
          <w:lang w:val="uk-UA"/>
        </w:rPr>
        <w:t>ількість справ, що надійшли на розгляд</w:t>
      </w:r>
    </w:p>
    <w:p w:rsidR="0049017F" w:rsidRPr="00331A56" w:rsidRDefault="00D33F3B" w:rsidP="006E4316">
      <w:pPr>
        <w:tabs>
          <w:tab w:val="left" w:pos="567"/>
        </w:tabs>
        <w:spacing w:after="0" w:line="240" w:lineRule="auto"/>
        <w:jc w:val="center"/>
        <w:rPr>
          <w:rFonts w:ascii="Times New Roman" w:hAnsi="Times New Roman" w:cs="Times New Roman"/>
          <w:b/>
          <w:sz w:val="24"/>
          <w:szCs w:val="24"/>
          <w:lang w:val="uk-UA"/>
        </w:rPr>
      </w:pPr>
      <w:r w:rsidRPr="00331A56">
        <w:rPr>
          <w:rFonts w:ascii="Times New Roman" w:hAnsi="Times New Roman" w:cs="Times New Roman"/>
          <w:b/>
          <w:sz w:val="24"/>
          <w:szCs w:val="24"/>
          <w:lang w:val="uk-UA"/>
        </w:rPr>
        <w:t>Запорізького окружного адміністративного суду у звітному періоді</w:t>
      </w:r>
      <w:r w:rsidR="00121A6E" w:rsidRPr="00331A56">
        <w:rPr>
          <w:rFonts w:ascii="Times New Roman" w:hAnsi="Times New Roman" w:cs="Times New Roman"/>
          <w:b/>
          <w:sz w:val="24"/>
          <w:szCs w:val="24"/>
          <w:lang w:val="uk-UA"/>
        </w:rPr>
        <w:t>,</w:t>
      </w:r>
      <w:r w:rsidR="0052323E">
        <w:rPr>
          <w:rFonts w:ascii="Times New Roman" w:hAnsi="Times New Roman" w:cs="Times New Roman"/>
          <w:b/>
          <w:sz w:val="24"/>
          <w:szCs w:val="24"/>
          <w:lang w:val="uk-UA"/>
        </w:rPr>
        <w:t xml:space="preserve"> </w:t>
      </w:r>
      <w:r w:rsidR="009F4E3F" w:rsidRPr="00331A56">
        <w:rPr>
          <w:rFonts w:ascii="Times New Roman" w:hAnsi="Times New Roman" w:cs="Times New Roman"/>
          <w:b/>
          <w:sz w:val="24"/>
          <w:szCs w:val="24"/>
          <w:lang w:val="uk-UA"/>
        </w:rPr>
        <w:t xml:space="preserve">у порівнянні з </w:t>
      </w:r>
    </w:p>
    <w:p w:rsidR="00B312A6" w:rsidRPr="00331A56" w:rsidRDefault="00B71B4E" w:rsidP="006E4316">
      <w:pPr>
        <w:tabs>
          <w:tab w:val="left" w:pos="567"/>
        </w:tabs>
        <w:spacing w:after="0" w:line="240" w:lineRule="auto"/>
        <w:jc w:val="center"/>
        <w:rPr>
          <w:rFonts w:ascii="Times New Roman" w:hAnsi="Times New Roman" w:cs="Times New Roman"/>
          <w:b/>
          <w:sz w:val="24"/>
          <w:szCs w:val="24"/>
          <w:lang w:val="uk-UA"/>
        </w:rPr>
      </w:pPr>
      <w:r w:rsidRPr="00331A56">
        <w:rPr>
          <w:rFonts w:ascii="Times New Roman" w:hAnsi="Times New Roman" w:cs="Times New Roman"/>
          <w:b/>
          <w:sz w:val="24"/>
          <w:szCs w:val="24"/>
          <w:lang w:val="uk-UA"/>
        </w:rPr>
        <w:t>201</w:t>
      </w:r>
      <w:r w:rsidR="004C0427">
        <w:rPr>
          <w:rFonts w:ascii="Times New Roman" w:hAnsi="Times New Roman" w:cs="Times New Roman"/>
          <w:b/>
          <w:sz w:val="24"/>
          <w:szCs w:val="24"/>
          <w:lang w:val="uk-UA"/>
        </w:rPr>
        <w:t>6</w:t>
      </w:r>
      <w:r w:rsidR="009C3A94">
        <w:rPr>
          <w:rFonts w:ascii="Times New Roman" w:hAnsi="Times New Roman" w:cs="Times New Roman"/>
          <w:b/>
          <w:sz w:val="24"/>
          <w:szCs w:val="24"/>
          <w:lang w:val="uk-UA"/>
        </w:rPr>
        <w:t xml:space="preserve"> </w:t>
      </w:r>
      <w:r w:rsidRPr="00331A56">
        <w:rPr>
          <w:rFonts w:ascii="Times New Roman" w:hAnsi="Times New Roman" w:cs="Times New Roman"/>
          <w:b/>
          <w:sz w:val="24"/>
          <w:szCs w:val="24"/>
          <w:lang w:val="uk-UA"/>
        </w:rPr>
        <w:t>роком</w:t>
      </w:r>
      <w:r w:rsidR="0049017F" w:rsidRPr="00331A56">
        <w:rPr>
          <w:rFonts w:ascii="Times New Roman" w:hAnsi="Times New Roman" w:cs="Times New Roman"/>
          <w:b/>
          <w:sz w:val="24"/>
          <w:szCs w:val="24"/>
          <w:lang w:val="uk-UA"/>
        </w:rPr>
        <w:t xml:space="preserve"> </w:t>
      </w:r>
      <w:r w:rsidR="00D33F3B" w:rsidRPr="00331A56">
        <w:rPr>
          <w:rFonts w:ascii="Times New Roman" w:hAnsi="Times New Roman" w:cs="Times New Roman"/>
          <w:b/>
          <w:sz w:val="24"/>
          <w:szCs w:val="24"/>
          <w:lang w:val="uk-UA"/>
        </w:rPr>
        <w:t>в розрізі категорій</w:t>
      </w:r>
    </w:p>
    <w:p w:rsidR="00B71B4E" w:rsidRPr="00331A56" w:rsidRDefault="00152354" w:rsidP="00B71B4E">
      <w:pPr>
        <w:tabs>
          <w:tab w:val="left" w:pos="567"/>
        </w:tabs>
        <w:spacing w:after="0" w:line="240" w:lineRule="auto"/>
        <w:rPr>
          <w:rFonts w:ascii="Times New Roman" w:hAnsi="Times New Roman" w:cs="Times New Roman"/>
          <w:b/>
          <w:sz w:val="24"/>
          <w:szCs w:val="24"/>
          <w:lang w:val="uk-UA"/>
        </w:rPr>
      </w:pPr>
      <w:r>
        <w:rPr>
          <w:rFonts w:ascii="Times New Roman" w:hAnsi="Times New Roman" w:cs="Times New Roman"/>
          <w:sz w:val="24"/>
          <w:szCs w:val="24"/>
          <w:lang w:val="uk-UA"/>
        </w:rPr>
        <w:pict>
          <v:rect id="Rectangle 2" o:spid="_x0000_s1026" style="position:absolute;margin-left:-44.45pt;margin-top:121.2pt;width:110.8pt;height:21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" stroked="f">
            <v:fill opacity="0"/>
            <v:textbox style="layout-flow:vertical;mso-layout-flow-alt:bottom-to-top;mso-next-textbox:#Rectangle 2">
              <w:txbxContent>
                <w:p w:rsidR="0029774D" w:rsidRPr="00177FF3" w:rsidRDefault="0029774D" w:rsidP="00177FF3">
                  <w:pPr>
                    <w:ind w:left="-142" w:right="-172"/>
                    <w:rPr>
                      <w:rFonts w:ascii="Times New Roman" w:hAnsi="Times New Roman" w:cs="Times New Roman"/>
                      <w:sz w:val="20"/>
                      <w:szCs w:val="20"/>
                      <w:lang w:val="uk-UA"/>
                    </w:rPr>
                  </w:pPr>
                  <w:r w:rsidRPr="00177FF3">
                    <w:rPr>
                      <w:rFonts w:ascii="Times New Roman" w:hAnsi="Times New Roman" w:cs="Times New Roman"/>
                      <w:sz w:val="20"/>
                      <w:szCs w:val="20"/>
                      <w:lang w:val="uk-UA"/>
                    </w:rPr>
                    <w:t>№ рядка</w:t>
                  </w:r>
                  <w:r>
                    <w:rPr>
                      <w:rFonts w:ascii="Times New Roman" w:hAnsi="Times New Roman" w:cs="Times New Roman"/>
                      <w:sz w:val="20"/>
                      <w:szCs w:val="20"/>
                      <w:lang w:val="uk-UA"/>
                    </w:rPr>
                    <w:t xml:space="preserve"> класифікатора</w:t>
                  </w:r>
                </w:p>
              </w:txbxContent>
            </v:textbox>
          </v:rect>
        </w:pict>
      </w:r>
      <w:r w:rsidR="00B71B4E" w:rsidRPr="00331A56">
        <w:rPr>
          <w:rFonts w:ascii="Times New Roman" w:hAnsi="Times New Roman" w:cs="Times New Roman"/>
          <w:b/>
          <w:noProof/>
          <w:sz w:val="24"/>
          <w:szCs w:val="24"/>
        </w:rPr>
        <w:drawing>
          <wp:inline distT="0" distB="0" distL="0" distR="0">
            <wp:extent cx="6097979" cy="348540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5AD9" w:rsidRDefault="00A45AD9" w:rsidP="0049721B">
      <w:pPr>
        <w:pStyle w:val="a3"/>
        <w:spacing w:after="0" w:line="240" w:lineRule="auto"/>
        <w:ind w:left="0" w:firstLine="708"/>
        <w:jc w:val="both"/>
        <w:rPr>
          <w:rFonts w:ascii="Times New Roman" w:hAnsi="Times New Roman"/>
          <w:sz w:val="24"/>
          <w:szCs w:val="24"/>
        </w:rPr>
      </w:pPr>
      <w:r w:rsidRPr="00331A56">
        <w:rPr>
          <w:rFonts w:ascii="Times New Roman" w:hAnsi="Times New Roman"/>
          <w:sz w:val="24"/>
          <w:szCs w:val="24"/>
        </w:rPr>
        <w:t>Основною категорією справ, що надходили на розгляд суду у звітному періоді, є справи з</w:t>
      </w:r>
      <w:r w:rsidR="00E93C37">
        <w:rPr>
          <w:rFonts w:ascii="Times New Roman" w:hAnsi="Times New Roman"/>
          <w:sz w:val="24"/>
          <w:szCs w:val="24"/>
        </w:rPr>
        <w:t xml:space="preserve"> приводу адміністрування податків, платежів, контроль за дотриманням вимог податкового законодавства.</w:t>
      </w:r>
      <w:r w:rsidRPr="00331A56">
        <w:rPr>
          <w:rFonts w:ascii="Times New Roman" w:hAnsi="Times New Roman"/>
          <w:sz w:val="24"/>
          <w:szCs w:val="24"/>
        </w:rPr>
        <w:t xml:space="preserve"> Протягом 201</w:t>
      </w:r>
      <w:r w:rsidR="00192246">
        <w:rPr>
          <w:rFonts w:ascii="Times New Roman" w:hAnsi="Times New Roman"/>
          <w:sz w:val="24"/>
          <w:szCs w:val="24"/>
        </w:rPr>
        <w:t>7</w:t>
      </w:r>
      <w:r w:rsidRPr="00331A56">
        <w:rPr>
          <w:rFonts w:ascii="Times New Roman" w:hAnsi="Times New Roman"/>
          <w:sz w:val="24"/>
          <w:szCs w:val="24"/>
        </w:rPr>
        <w:t xml:space="preserve"> року до суду надійшло </w:t>
      </w:r>
      <w:r w:rsidR="00142925">
        <w:rPr>
          <w:rFonts w:ascii="Times New Roman" w:hAnsi="Times New Roman"/>
          <w:sz w:val="24"/>
          <w:szCs w:val="24"/>
        </w:rPr>
        <w:t>1</w:t>
      </w:r>
      <w:r w:rsidR="00192246">
        <w:rPr>
          <w:rFonts w:ascii="Times New Roman" w:hAnsi="Times New Roman"/>
          <w:sz w:val="24"/>
          <w:szCs w:val="24"/>
        </w:rPr>
        <w:t>400</w:t>
      </w:r>
      <w:r w:rsidRPr="00331A56">
        <w:rPr>
          <w:rFonts w:ascii="Times New Roman" w:hAnsi="Times New Roman"/>
          <w:sz w:val="24"/>
          <w:szCs w:val="24"/>
        </w:rPr>
        <w:t xml:space="preserve"> справ зазначеної категорії, що становить </w:t>
      </w:r>
      <w:r w:rsidR="00192246">
        <w:rPr>
          <w:rFonts w:ascii="Times New Roman" w:hAnsi="Times New Roman"/>
          <w:sz w:val="24"/>
          <w:szCs w:val="24"/>
        </w:rPr>
        <w:t>39,1</w:t>
      </w:r>
      <w:r w:rsidRPr="00331A56">
        <w:rPr>
          <w:rFonts w:ascii="Times New Roman" w:hAnsi="Times New Roman"/>
          <w:sz w:val="24"/>
          <w:szCs w:val="24"/>
        </w:rPr>
        <w:t xml:space="preserve">% від загальної кількості справ, що надійшли до суду </w:t>
      </w:r>
      <w:r w:rsidR="00E93C37">
        <w:rPr>
          <w:rFonts w:ascii="Times New Roman" w:hAnsi="Times New Roman"/>
          <w:sz w:val="24"/>
          <w:szCs w:val="24"/>
        </w:rPr>
        <w:t xml:space="preserve">у </w:t>
      </w:r>
      <w:r w:rsidR="003C4454">
        <w:rPr>
          <w:rFonts w:ascii="Times New Roman" w:hAnsi="Times New Roman"/>
          <w:sz w:val="24"/>
          <w:szCs w:val="24"/>
        </w:rPr>
        <w:t>звітному</w:t>
      </w:r>
      <w:r w:rsidR="006E465F">
        <w:rPr>
          <w:rFonts w:ascii="Times New Roman" w:hAnsi="Times New Roman"/>
          <w:sz w:val="24"/>
          <w:szCs w:val="24"/>
        </w:rPr>
        <w:t xml:space="preserve"> періоді. На другому місці</w:t>
      </w:r>
      <w:r w:rsidR="00192246">
        <w:rPr>
          <w:rFonts w:ascii="Times New Roman" w:hAnsi="Times New Roman"/>
          <w:sz w:val="24"/>
          <w:szCs w:val="24"/>
        </w:rPr>
        <w:t xml:space="preserve"> с</w:t>
      </w:r>
      <w:r w:rsidR="00192246" w:rsidRPr="00950A25">
        <w:rPr>
          <w:rFonts w:ascii="Times New Roman" w:hAnsi="Times New Roman" w:cs="Times New Roman"/>
          <w:sz w:val="24"/>
          <w:szCs w:val="24"/>
        </w:rPr>
        <w:t>пори з приводу реалізації публічної політики у сферах праці, зайнятості населення та соціального захисту громадян</w:t>
      </w:r>
      <w:r w:rsidR="00192246">
        <w:rPr>
          <w:rFonts w:ascii="Times New Roman" w:hAnsi="Times New Roman" w:cs="Times New Roman"/>
          <w:sz w:val="24"/>
          <w:szCs w:val="24"/>
        </w:rPr>
        <w:t xml:space="preserve">. </w:t>
      </w:r>
      <w:r w:rsidR="006E465F">
        <w:rPr>
          <w:rFonts w:ascii="Times New Roman" w:hAnsi="Times New Roman" w:cs="Times New Roman"/>
          <w:sz w:val="24"/>
          <w:szCs w:val="24"/>
        </w:rPr>
        <w:t>Протягом звітного періоду до суду надійшло 1091 справа, що становить 30,4%</w:t>
      </w:r>
      <w:r w:rsidR="006E465F" w:rsidRPr="006E465F">
        <w:rPr>
          <w:rFonts w:ascii="Times New Roman" w:hAnsi="Times New Roman"/>
          <w:sz w:val="24"/>
          <w:szCs w:val="24"/>
        </w:rPr>
        <w:t xml:space="preserve"> </w:t>
      </w:r>
      <w:r w:rsidR="006E465F" w:rsidRPr="00331A56">
        <w:rPr>
          <w:rFonts w:ascii="Times New Roman" w:hAnsi="Times New Roman"/>
          <w:sz w:val="24"/>
          <w:szCs w:val="24"/>
        </w:rPr>
        <w:t xml:space="preserve">від загальної кількості справ, що надійшли до суду </w:t>
      </w:r>
      <w:r w:rsidR="006E465F">
        <w:rPr>
          <w:rFonts w:ascii="Times New Roman" w:hAnsi="Times New Roman"/>
          <w:sz w:val="24"/>
          <w:szCs w:val="24"/>
        </w:rPr>
        <w:t>у звітному періоді.</w:t>
      </w:r>
    </w:p>
    <w:p w:rsidR="00E33BCF" w:rsidRDefault="00E33BCF" w:rsidP="00C63826">
      <w:pPr>
        <w:pStyle w:val="a3"/>
        <w:tabs>
          <w:tab w:val="left" w:pos="993"/>
        </w:tabs>
        <w:spacing w:after="0" w:line="240" w:lineRule="auto"/>
        <w:ind w:left="0" w:firstLine="720"/>
        <w:jc w:val="both"/>
        <w:rPr>
          <w:rFonts w:ascii="Times New Roman" w:hAnsi="Times New Roman" w:cs="Times New Roman"/>
          <w:sz w:val="24"/>
          <w:szCs w:val="24"/>
        </w:rPr>
      </w:pPr>
    </w:p>
    <w:p w:rsidR="00AA270C" w:rsidRPr="00950A25" w:rsidRDefault="00AA270C" w:rsidP="00AA270C">
      <w:pPr>
        <w:spacing w:after="0" w:line="240" w:lineRule="auto"/>
        <w:ind w:firstLine="708"/>
        <w:jc w:val="both"/>
        <w:rPr>
          <w:rFonts w:ascii="Times New Roman" w:hAnsi="Times New Roman"/>
          <w:sz w:val="24"/>
          <w:szCs w:val="24"/>
          <w:lang w:val="uk-UA"/>
        </w:rPr>
      </w:pPr>
      <w:r w:rsidRPr="00950A25">
        <w:rPr>
          <w:rFonts w:ascii="Times New Roman" w:hAnsi="Times New Roman"/>
          <w:sz w:val="24"/>
          <w:szCs w:val="24"/>
          <w:lang w:val="uk-UA"/>
        </w:rPr>
        <w:t>Недотримання строків розгляду справ обумовлено причинами, які у своїй більшості мають об’єктивний характер та не залежать від суду, зокрема:</w:t>
      </w:r>
    </w:p>
    <w:p w:rsidR="00AA270C" w:rsidRPr="00950A25" w:rsidRDefault="00AA270C" w:rsidP="00AA270C">
      <w:pPr>
        <w:numPr>
          <w:ilvl w:val="0"/>
          <w:numId w:val="1"/>
        </w:numPr>
        <w:tabs>
          <w:tab w:val="left" w:pos="993"/>
        </w:tabs>
        <w:spacing w:after="0" w:line="240" w:lineRule="auto"/>
        <w:ind w:left="1080"/>
        <w:jc w:val="both"/>
        <w:rPr>
          <w:rFonts w:ascii="Times New Roman" w:hAnsi="Times New Roman"/>
          <w:sz w:val="24"/>
          <w:szCs w:val="24"/>
          <w:lang w:val="uk-UA"/>
        </w:rPr>
      </w:pPr>
      <w:r w:rsidRPr="00950A25">
        <w:rPr>
          <w:rFonts w:ascii="Times New Roman" w:hAnsi="Times New Roman"/>
          <w:sz w:val="24"/>
          <w:szCs w:val="24"/>
          <w:lang w:val="uk-UA"/>
        </w:rPr>
        <w:t>неявка учасників процесу;</w:t>
      </w:r>
    </w:p>
    <w:p w:rsidR="00AA270C" w:rsidRPr="00950A25" w:rsidRDefault="00AA270C" w:rsidP="00AA270C">
      <w:pPr>
        <w:numPr>
          <w:ilvl w:val="0"/>
          <w:numId w:val="1"/>
        </w:numPr>
        <w:tabs>
          <w:tab w:val="left" w:pos="993"/>
        </w:tabs>
        <w:spacing w:after="0" w:line="240" w:lineRule="auto"/>
        <w:ind w:left="1080"/>
        <w:jc w:val="both"/>
        <w:rPr>
          <w:rFonts w:ascii="Times New Roman" w:hAnsi="Times New Roman"/>
          <w:sz w:val="24"/>
          <w:szCs w:val="24"/>
          <w:lang w:val="uk-UA"/>
        </w:rPr>
      </w:pPr>
      <w:r w:rsidRPr="00950A25">
        <w:rPr>
          <w:rFonts w:ascii="Times New Roman" w:hAnsi="Times New Roman"/>
          <w:sz w:val="24"/>
          <w:szCs w:val="24"/>
          <w:lang w:val="uk-UA"/>
        </w:rPr>
        <w:lastRenderedPageBreak/>
        <w:t>задоволення клопотань учасників процесу про відкладення розгляду справи.</w:t>
      </w:r>
    </w:p>
    <w:p w:rsidR="00624FDF" w:rsidRPr="00331A56" w:rsidRDefault="00624FDF" w:rsidP="00575EF6">
      <w:pPr>
        <w:tabs>
          <w:tab w:val="left" w:pos="709"/>
        </w:tabs>
        <w:spacing w:after="0" w:line="240" w:lineRule="auto"/>
        <w:jc w:val="both"/>
        <w:rPr>
          <w:rFonts w:ascii="Times New Roman" w:hAnsi="Times New Roman"/>
          <w:sz w:val="24"/>
          <w:szCs w:val="24"/>
          <w:lang w:val="uk-UA"/>
        </w:rPr>
      </w:pPr>
    </w:p>
    <w:p w:rsidR="004F1577" w:rsidRPr="00D064D1" w:rsidRDefault="0049721B" w:rsidP="004F1577">
      <w:pPr>
        <w:spacing w:after="0" w:line="240" w:lineRule="auto"/>
        <w:ind w:firstLine="708"/>
        <w:jc w:val="both"/>
        <w:rPr>
          <w:rFonts w:ascii="Times New Roman" w:hAnsi="Times New Roman"/>
          <w:sz w:val="24"/>
          <w:szCs w:val="24"/>
          <w:lang w:val="uk-UA"/>
        </w:rPr>
      </w:pPr>
      <w:r w:rsidRPr="00D064D1">
        <w:rPr>
          <w:rFonts w:ascii="Times New Roman" w:hAnsi="Times New Roman"/>
          <w:sz w:val="24"/>
          <w:szCs w:val="24"/>
          <w:lang w:val="uk-UA"/>
        </w:rPr>
        <w:t xml:space="preserve">Залишок нерозглянутих адміністративних справ на кінець звітного періоду </w:t>
      </w:r>
      <w:r w:rsidR="00923B33">
        <w:rPr>
          <w:rFonts w:ascii="Times New Roman" w:hAnsi="Times New Roman"/>
          <w:sz w:val="24"/>
          <w:szCs w:val="24"/>
          <w:lang w:val="uk-UA"/>
        </w:rPr>
        <w:t xml:space="preserve">становить </w:t>
      </w:r>
      <w:r w:rsidR="00923B33">
        <w:rPr>
          <w:rFonts w:ascii="Times New Roman" w:hAnsi="Times New Roman"/>
          <w:b/>
          <w:sz w:val="24"/>
          <w:szCs w:val="24"/>
          <w:lang w:val="uk-UA"/>
        </w:rPr>
        <w:t>904</w:t>
      </w:r>
      <w:r w:rsidR="00987F86">
        <w:rPr>
          <w:rFonts w:ascii="Times New Roman" w:hAnsi="Times New Roman"/>
          <w:sz w:val="24"/>
          <w:szCs w:val="24"/>
          <w:lang w:val="uk-UA"/>
        </w:rPr>
        <w:t xml:space="preserve"> </w:t>
      </w:r>
      <w:r w:rsidRPr="00D064D1">
        <w:rPr>
          <w:rFonts w:ascii="Times New Roman" w:hAnsi="Times New Roman"/>
          <w:sz w:val="24"/>
          <w:szCs w:val="24"/>
          <w:lang w:val="uk-UA"/>
        </w:rPr>
        <w:t>справ</w:t>
      </w:r>
      <w:r w:rsidR="00923B33">
        <w:rPr>
          <w:rFonts w:ascii="Times New Roman" w:hAnsi="Times New Roman"/>
          <w:sz w:val="24"/>
          <w:szCs w:val="24"/>
          <w:lang w:val="uk-UA"/>
        </w:rPr>
        <w:t>и, що</w:t>
      </w:r>
      <w:r w:rsidRPr="00D064D1">
        <w:rPr>
          <w:rFonts w:ascii="Times New Roman" w:hAnsi="Times New Roman"/>
          <w:sz w:val="24"/>
          <w:szCs w:val="24"/>
          <w:lang w:val="uk-UA"/>
        </w:rPr>
        <w:t xml:space="preserve"> становить </w:t>
      </w:r>
      <w:r w:rsidR="00923B33">
        <w:rPr>
          <w:rFonts w:ascii="Times New Roman" w:hAnsi="Times New Roman"/>
          <w:sz w:val="24"/>
          <w:szCs w:val="24"/>
          <w:lang w:val="uk-UA"/>
        </w:rPr>
        <w:t>20,7</w:t>
      </w:r>
      <w:r w:rsidRPr="00D064D1">
        <w:rPr>
          <w:rFonts w:ascii="Times New Roman" w:hAnsi="Times New Roman"/>
          <w:sz w:val="24"/>
          <w:szCs w:val="24"/>
          <w:lang w:val="uk-UA"/>
        </w:rPr>
        <w:t>% від загальної кількості справ, що перебували в провадженні протягом</w:t>
      </w:r>
      <w:r w:rsidR="00624FDF" w:rsidRPr="00D064D1">
        <w:rPr>
          <w:rFonts w:ascii="Times New Roman" w:hAnsi="Times New Roman"/>
          <w:sz w:val="24"/>
          <w:szCs w:val="24"/>
          <w:lang w:val="uk-UA"/>
        </w:rPr>
        <w:t xml:space="preserve"> 201</w:t>
      </w:r>
      <w:r w:rsidR="00923B33">
        <w:rPr>
          <w:rFonts w:ascii="Times New Roman" w:hAnsi="Times New Roman"/>
          <w:sz w:val="24"/>
          <w:szCs w:val="24"/>
          <w:lang w:val="uk-UA"/>
        </w:rPr>
        <w:t>7</w:t>
      </w:r>
      <w:r w:rsidR="00C52D34" w:rsidRPr="00D064D1">
        <w:rPr>
          <w:rFonts w:ascii="Times New Roman" w:hAnsi="Times New Roman"/>
          <w:sz w:val="24"/>
          <w:szCs w:val="24"/>
          <w:lang w:val="uk-UA"/>
        </w:rPr>
        <w:t xml:space="preserve"> </w:t>
      </w:r>
      <w:r w:rsidRPr="00D064D1">
        <w:rPr>
          <w:rFonts w:ascii="Times New Roman" w:hAnsi="Times New Roman"/>
          <w:sz w:val="24"/>
          <w:szCs w:val="24"/>
          <w:lang w:val="uk-UA"/>
        </w:rPr>
        <w:t>року</w:t>
      </w:r>
      <w:r w:rsidR="00D064D1" w:rsidRPr="00D064D1">
        <w:rPr>
          <w:rFonts w:ascii="Times New Roman" w:hAnsi="Times New Roman"/>
          <w:sz w:val="24"/>
          <w:szCs w:val="24"/>
          <w:lang w:val="uk-UA"/>
        </w:rPr>
        <w:t>, з них:</w:t>
      </w:r>
      <w:r w:rsidRPr="00D064D1">
        <w:rPr>
          <w:rFonts w:ascii="Times New Roman" w:hAnsi="Times New Roman"/>
          <w:sz w:val="24"/>
          <w:szCs w:val="24"/>
          <w:lang w:val="uk-UA"/>
        </w:rPr>
        <w:t xml:space="preserve"> </w:t>
      </w:r>
    </w:p>
    <w:p w:rsidR="0049721B" w:rsidRPr="00331A56" w:rsidRDefault="0049721B" w:rsidP="0049721B">
      <w:pPr>
        <w:pStyle w:val="a3"/>
        <w:spacing w:after="0" w:line="240" w:lineRule="auto"/>
        <w:ind w:left="709"/>
        <w:jc w:val="both"/>
        <w:rPr>
          <w:rFonts w:ascii="Times New Roman" w:hAnsi="Times New Roman"/>
          <w:sz w:val="24"/>
          <w:szCs w:val="24"/>
        </w:rPr>
      </w:pPr>
      <w:r w:rsidRPr="00331A56">
        <w:rPr>
          <w:rFonts w:ascii="Times New Roman" w:hAnsi="Times New Roman"/>
          <w:sz w:val="24"/>
          <w:szCs w:val="24"/>
        </w:rPr>
        <w:t xml:space="preserve">- по </w:t>
      </w:r>
      <w:r w:rsidR="000B1065">
        <w:rPr>
          <w:rFonts w:ascii="Times New Roman" w:hAnsi="Times New Roman"/>
          <w:sz w:val="24"/>
          <w:szCs w:val="24"/>
        </w:rPr>
        <w:t>5</w:t>
      </w:r>
      <w:r w:rsidR="00987F86">
        <w:rPr>
          <w:rFonts w:ascii="Times New Roman" w:hAnsi="Times New Roman"/>
          <w:sz w:val="24"/>
          <w:szCs w:val="24"/>
        </w:rPr>
        <w:t xml:space="preserve">18 </w:t>
      </w:r>
      <w:r w:rsidRPr="00230747">
        <w:rPr>
          <w:rFonts w:ascii="Times New Roman" w:hAnsi="Times New Roman"/>
          <w:sz w:val="24"/>
          <w:szCs w:val="24"/>
        </w:rPr>
        <w:t>справ</w:t>
      </w:r>
      <w:r w:rsidR="00884049" w:rsidRPr="00230747">
        <w:rPr>
          <w:rFonts w:ascii="Times New Roman" w:hAnsi="Times New Roman"/>
          <w:sz w:val="24"/>
          <w:szCs w:val="24"/>
        </w:rPr>
        <w:t>а</w:t>
      </w:r>
      <w:r w:rsidR="00D56430">
        <w:rPr>
          <w:rFonts w:ascii="Times New Roman" w:hAnsi="Times New Roman"/>
          <w:sz w:val="24"/>
          <w:szCs w:val="24"/>
        </w:rPr>
        <w:t>х</w:t>
      </w:r>
      <w:r w:rsidRPr="00331A56">
        <w:rPr>
          <w:rFonts w:ascii="Times New Roman" w:hAnsi="Times New Roman"/>
          <w:sz w:val="24"/>
          <w:szCs w:val="24"/>
        </w:rPr>
        <w:t xml:space="preserve"> провадження зупинено (</w:t>
      </w:r>
      <w:r w:rsidR="000B1065">
        <w:rPr>
          <w:rFonts w:ascii="Times New Roman" w:hAnsi="Times New Roman"/>
          <w:sz w:val="24"/>
          <w:szCs w:val="24"/>
        </w:rPr>
        <w:t>57,3</w:t>
      </w:r>
      <w:r w:rsidR="00FD531B" w:rsidRPr="00331A56">
        <w:rPr>
          <w:rFonts w:ascii="Times New Roman" w:hAnsi="Times New Roman"/>
          <w:sz w:val="24"/>
          <w:szCs w:val="24"/>
        </w:rPr>
        <w:t>% від залишку нерозглянутих адміністративних справ на кінець звітного періоду</w:t>
      </w:r>
      <w:r w:rsidRPr="00331A56">
        <w:rPr>
          <w:rFonts w:ascii="Times New Roman" w:hAnsi="Times New Roman"/>
          <w:sz w:val="24"/>
          <w:szCs w:val="24"/>
        </w:rPr>
        <w:t xml:space="preserve">); </w:t>
      </w:r>
    </w:p>
    <w:p w:rsidR="00646CC2" w:rsidRDefault="0049721B" w:rsidP="00575EF6">
      <w:pPr>
        <w:pStyle w:val="a3"/>
        <w:spacing w:after="0" w:line="240" w:lineRule="auto"/>
        <w:ind w:left="709"/>
        <w:jc w:val="both"/>
        <w:rPr>
          <w:rFonts w:ascii="Times New Roman" w:hAnsi="Times New Roman"/>
          <w:sz w:val="24"/>
          <w:szCs w:val="24"/>
        </w:rPr>
      </w:pPr>
      <w:r w:rsidRPr="00331A56">
        <w:rPr>
          <w:rFonts w:ascii="Times New Roman" w:hAnsi="Times New Roman"/>
          <w:sz w:val="24"/>
          <w:szCs w:val="24"/>
        </w:rPr>
        <w:t xml:space="preserve">- розгляд </w:t>
      </w:r>
      <w:r w:rsidR="000B1065">
        <w:rPr>
          <w:rFonts w:ascii="Times New Roman" w:hAnsi="Times New Roman"/>
          <w:sz w:val="24"/>
          <w:szCs w:val="24"/>
        </w:rPr>
        <w:t>386</w:t>
      </w:r>
      <w:r w:rsidRPr="00331A56">
        <w:rPr>
          <w:rFonts w:ascii="Times New Roman" w:hAnsi="Times New Roman"/>
          <w:sz w:val="24"/>
          <w:szCs w:val="24"/>
        </w:rPr>
        <w:t xml:space="preserve"> адміністрат</w:t>
      </w:r>
      <w:r w:rsidR="00E71AE6">
        <w:rPr>
          <w:rFonts w:ascii="Times New Roman" w:hAnsi="Times New Roman"/>
          <w:sz w:val="24"/>
          <w:szCs w:val="24"/>
        </w:rPr>
        <w:t>ивних</w:t>
      </w:r>
      <w:r w:rsidRPr="00331A56">
        <w:rPr>
          <w:rFonts w:ascii="Times New Roman" w:hAnsi="Times New Roman"/>
          <w:sz w:val="24"/>
          <w:szCs w:val="24"/>
        </w:rPr>
        <w:t xml:space="preserve"> справ призначен</w:t>
      </w:r>
      <w:r w:rsidR="00E71AE6">
        <w:rPr>
          <w:rFonts w:ascii="Times New Roman" w:hAnsi="Times New Roman"/>
          <w:sz w:val="24"/>
          <w:szCs w:val="24"/>
        </w:rPr>
        <w:t>о</w:t>
      </w:r>
      <w:r w:rsidRPr="00331A56">
        <w:rPr>
          <w:rFonts w:ascii="Times New Roman" w:hAnsi="Times New Roman"/>
          <w:sz w:val="24"/>
          <w:szCs w:val="24"/>
        </w:rPr>
        <w:t xml:space="preserve"> на </w:t>
      </w:r>
      <w:r w:rsidR="00884049" w:rsidRPr="00331A56">
        <w:rPr>
          <w:rFonts w:ascii="Times New Roman" w:hAnsi="Times New Roman"/>
          <w:sz w:val="24"/>
          <w:szCs w:val="24"/>
        </w:rPr>
        <w:t>201</w:t>
      </w:r>
      <w:r w:rsidR="000B1065">
        <w:rPr>
          <w:rFonts w:ascii="Times New Roman" w:hAnsi="Times New Roman"/>
          <w:sz w:val="24"/>
          <w:szCs w:val="24"/>
        </w:rPr>
        <w:t>8</w:t>
      </w:r>
      <w:r w:rsidR="00884049" w:rsidRPr="00331A56">
        <w:rPr>
          <w:rFonts w:ascii="Times New Roman" w:hAnsi="Times New Roman"/>
          <w:sz w:val="24"/>
          <w:szCs w:val="24"/>
        </w:rPr>
        <w:t xml:space="preserve"> рік</w:t>
      </w:r>
      <w:r w:rsidR="00E71AE6">
        <w:rPr>
          <w:rFonts w:ascii="Times New Roman" w:hAnsi="Times New Roman"/>
          <w:sz w:val="24"/>
          <w:szCs w:val="24"/>
        </w:rPr>
        <w:t>.</w:t>
      </w:r>
    </w:p>
    <w:p w:rsidR="00147EEC" w:rsidRDefault="00147EEC" w:rsidP="00575EF6">
      <w:pPr>
        <w:pStyle w:val="a3"/>
        <w:spacing w:after="0" w:line="240" w:lineRule="auto"/>
        <w:ind w:left="709"/>
        <w:jc w:val="both"/>
        <w:rPr>
          <w:rFonts w:ascii="Times New Roman" w:hAnsi="Times New Roman"/>
          <w:sz w:val="24"/>
          <w:szCs w:val="24"/>
        </w:rPr>
      </w:pPr>
    </w:p>
    <w:p w:rsidR="00375CC2" w:rsidRPr="00331A56" w:rsidRDefault="0049721B" w:rsidP="0049721B">
      <w:pPr>
        <w:spacing w:after="0" w:line="240" w:lineRule="auto"/>
        <w:jc w:val="center"/>
        <w:rPr>
          <w:rFonts w:ascii="Times New Roman" w:hAnsi="Times New Roman"/>
          <w:b/>
          <w:sz w:val="24"/>
          <w:szCs w:val="24"/>
          <w:lang w:val="uk-UA"/>
        </w:rPr>
      </w:pPr>
      <w:r w:rsidRPr="00331A56">
        <w:rPr>
          <w:rFonts w:ascii="Times New Roman" w:hAnsi="Times New Roman"/>
          <w:b/>
          <w:sz w:val="24"/>
          <w:szCs w:val="24"/>
          <w:lang w:val="uk-UA"/>
        </w:rPr>
        <w:t xml:space="preserve">Розгляд заяв </w:t>
      </w:r>
    </w:p>
    <w:p w:rsidR="0049721B" w:rsidRDefault="0049721B" w:rsidP="00375CC2">
      <w:pPr>
        <w:spacing w:after="0" w:line="240" w:lineRule="auto"/>
        <w:jc w:val="center"/>
        <w:rPr>
          <w:rFonts w:ascii="Times New Roman" w:hAnsi="Times New Roman"/>
          <w:b/>
          <w:sz w:val="24"/>
          <w:szCs w:val="24"/>
          <w:lang w:val="uk-UA"/>
        </w:rPr>
      </w:pPr>
      <w:r w:rsidRPr="00331A56">
        <w:rPr>
          <w:rFonts w:ascii="Times New Roman" w:hAnsi="Times New Roman"/>
          <w:b/>
          <w:sz w:val="24"/>
          <w:szCs w:val="24"/>
          <w:lang w:val="uk-UA"/>
        </w:rPr>
        <w:t>про перегляд судових рішень за нововиявленими обставинами</w:t>
      </w:r>
    </w:p>
    <w:p w:rsidR="00147EEC" w:rsidRPr="00331A56" w:rsidRDefault="00147EEC" w:rsidP="00375CC2">
      <w:pPr>
        <w:spacing w:after="0" w:line="240" w:lineRule="auto"/>
        <w:jc w:val="center"/>
        <w:rPr>
          <w:rFonts w:ascii="Times New Roman" w:hAnsi="Times New Roman"/>
          <w:b/>
          <w:sz w:val="24"/>
          <w:szCs w:val="24"/>
          <w:lang w:val="uk-UA"/>
        </w:rPr>
      </w:pPr>
    </w:p>
    <w:p w:rsidR="004532B8" w:rsidRDefault="0049721B" w:rsidP="00A85EE2">
      <w:pPr>
        <w:spacing w:after="0" w:line="240" w:lineRule="auto"/>
        <w:ind w:firstLine="708"/>
        <w:jc w:val="both"/>
        <w:rPr>
          <w:rFonts w:ascii="Times New Roman" w:hAnsi="Times New Roman"/>
          <w:sz w:val="24"/>
          <w:szCs w:val="24"/>
          <w:lang w:val="uk-UA"/>
        </w:rPr>
      </w:pPr>
      <w:r w:rsidRPr="00331A56">
        <w:rPr>
          <w:rFonts w:ascii="Times New Roman" w:hAnsi="Times New Roman"/>
          <w:sz w:val="24"/>
          <w:szCs w:val="24"/>
          <w:lang w:val="uk-UA"/>
        </w:rPr>
        <w:t xml:space="preserve">Протягом </w:t>
      </w:r>
      <w:r w:rsidR="002E6BD3" w:rsidRPr="00331A56">
        <w:rPr>
          <w:rFonts w:ascii="Times New Roman" w:hAnsi="Times New Roman"/>
          <w:sz w:val="24"/>
          <w:szCs w:val="24"/>
          <w:lang w:val="uk-UA"/>
        </w:rPr>
        <w:t>201</w:t>
      </w:r>
      <w:r w:rsidR="006853D5">
        <w:rPr>
          <w:rFonts w:ascii="Times New Roman" w:hAnsi="Times New Roman"/>
          <w:sz w:val="24"/>
          <w:szCs w:val="24"/>
          <w:lang w:val="uk-UA"/>
        </w:rPr>
        <w:t>7</w:t>
      </w:r>
      <w:r w:rsidR="002E6BD3" w:rsidRPr="00331A56">
        <w:rPr>
          <w:rFonts w:ascii="Times New Roman" w:hAnsi="Times New Roman"/>
          <w:sz w:val="24"/>
          <w:szCs w:val="24"/>
          <w:lang w:val="uk-UA"/>
        </w:rPr>
        <w:t xml:space="preserve"> року </w:t>
      </w:r>
      <w:r w:rsidR="004532B8">
        <w:rPr>
          <w:rFonts w:ascii="Times New Roman" w:hAnsi="Times New Roman"/>
          <w:sz w:val="24"/>
          <w:szCs w:val="24"/>
          <w:lang w:val="uk-UA"/>
        </w:rPr>
        <w:t>в провадженні суду перебувало 2</w:t>
      </w:r>
      <w:r w:rsidR="006853D5">
        <w:rPr>
          <w:rFonts w:ascii="Times New Roman" w:hAnsi="Times New Roman"/>
          <w:sz w:val="24"/>
          <w:szCs w:val="24"/>
          <w:lang w:val="uk-UA"/>
        </w:rPr>
        <w:t>0</w:t>
      </w:r>
      <w:r w:rsidR="004532B8">
        <w:rPr>
          <w:rFonts w:ascii="Times New Roman" w:hAnsi="Times New Roman"/>
          <w:sz w:val="24"/>
          <w:szCs w:val="24"/>
          <w:lang w:val="uk-UA"/>
        </w:rPr>
        <w:t xml:space="preserve"> заяв про перегляд судового рішення за нововиявленими обставинами</w:t>
      </w:r>
      <w:r w:rsidR="00AA781F">
        <w:rPr>
          <w:rFonts w:ascii="Times New Roman" w:hAnsi="Times New Roman"/>
          <w:sz w:val="24"/>
          <w:szCs w:val="24"/>
          <w:lang w:val="uk-UA"/>
        </w:rPr>
        <w:t>,</w:t>
      </w:r>
      <w:r w:rsidR="004532B8">
        <w:rPr>
          <w:rFonts w:ascii="Times New Roman" w:hAnsi="Times New Roman"/>
          <w:sz w:val="24"/>
          <w:szCs w:val="24"/>
          <w:lang w:val="uk-UA"/>
        </w:rPr>
        <w:t xml:space="preserve"> з яких </w:t>
      </w:r>
      <w:r w:rsidR="006853D5">
        <w:rPr>
          <w:rFonts w:ascii="Times New Roman" w:hAnsi="Times New Roman"/>
          <w:sz w:val="24"/>
          <w:szCs w:val="24"/>
          <w:lang w:val="uk-UA"/>
        </w:rPr>
        <w:t>13</w:t>
      </w:r>
      <w:r w:rsidR="004532B8">
        <w:rPr>
          <w:rFonts w:ascii="Times New Roman" w:hAnsi="Times New Roman"/>
          <w:sz w:val="24"/>
          <w:szCs w:val="24"/>
          <w:lang w:val="uk-UA"/>
        </w:rPr>
        <w:t xml:space="preserve"> заяв надійшл</w:t>
      </w:r>
      <w:r w:rsidR="001B708F">
        <w:rPr>
          <w:rFonts w:ascii="Times New Roman" w:hAnsi="Times New Roman"/>
          <w:sz w:val="24"/>
          <w:szCs w:val="24"/>
          <w:lang w:val="uk-UA"/>
        </w:rPr>
        <w:t>о</w:t>
      </w:r>
      <w:r w:rsidR="004532B8">
        <w:rPr>
          <w:rFonts w:ascii="Times New Roman" w:hAnsi="Times New Roman"/>
          <w:sz w:val="24"/>
          <w:szCs w:val="24"/>
          <w:lang w:val="uk-UA"/>
        </w:rPr>
        <w:t xml:space="preserve"> у звітному періоді.</w:t>
      </w:r>
    </w:p>
    <w:p w:rsidR="004532B8" w:rsidRDefault="00AA781F" w:rsidP="00A85EE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З загальної кількості заяв</w:t>
      </w:r>
      <w:r w:rsidR="007D0F06">
        <w:rPr>
          <w:rFonts w:ascii="Times New Roman" w:hAnsi="Times New Roman"/>
          <w:sz w:val="24"/>
          <w:szCs w:val="24"/>
          <w:lang w:val="uk-UA"/>
        </w:rPr>
        <w:t xml:space="preserve"> </w:t>
      </w:r>
      <w:r>
        <w:rPr>
          <w:rFonts w:ascii="Times New Roman" w:hAnsi="Times New Roman"/>
          <w:sz w:val="24"/>
          <w:szCs w:val="24"/>
          <w:lang w:val="uk-UA"/>
        </w:rPr>
        <w:t xml:space="preserve">про перегляд судового </w:t>
      </w:r>
      <w:r w:rsidR="007D0F06">
        <w:rPr>
          <w:rFonts w:ascii="Times New Roman" w:hAnsi="Times New Roman"/>
          <w:sz w:val="24"/>
          <w:szCs w:val="24"/>
          <w:lang w:val="uk-UA"/>
        </w:rPr>
        <w:t>рішення за но</w:t>
      </w:r>
      <w:r w:rsidR="00E61D4F">
        <w:rPr>
          <w:rFonts w:ascii="Times New Roman" w:hAnsi="Times New Roman"/>
          <w:sz w:val="24"/>
          <w:szCs w:val="24"/>
          <w:lang w:val="uk-UA"/>
        </w:rPr>
        <w:t>вовиявленими обставинами</w:t>
      </w:r>
      <w:r>
        <w:rPr>
          <w:rFonts w:ascii="Times New Roman" w:hAnsi="Times New Roman"/>
          <w:sz w:val="24"/>
          <w:szCs w:val="24"/>
          <w:lang w:val="uk-UA"/>
        </w:rPr>
        <w:t xml:space="preserve"> розглянуто </w:t>
      </w:r>
      <w:r w:rsidR="001B708F">
        <w:rPr>
          <w:rFonts w:ascii="Times New Roman" w:hAnsi="Times New Roman"/>
          <w:sz w:val="24"/>
          <w:szCs w:val="24"/>
          <w:lang w:val="uk-UA"/>
        </w:rPr>
        <w:t>14</w:t>
      </w:r>
      <w:r w:rsidR="00E61D4F">
        <w:rPr>
          <w:rFonts w:ascii="Times New Roman" w:hAnsi="Times New Roman"/>
          <w:sz w:val="24"/>
          <w:szCs w:val="24"/>
          <w:lang w:val="uk-UA"/>
        </w:rPr>
        <w:t xml:space="preserve"> заяв</w:t>
      </w:r>
      <w:r w:rsidR="004532B8">
        <w:rPr>
          <w:rFonts w:ascii="Times New Roman" w:hAnsi="Times New Roman"/>
          <w:sz w:val="24"/>
          <w:szCs w:val="24"/>
          <w:lang w:val="uk-UA"/>
        </w:rPr>
        <w:t>, а саме:</w:t>
      </w:r>
    </w:p>
    <w:p w:rsidR="004532B8" w:rsidRPr="009E2E86" w:rsidRDefault="004532B8" w:rsidP="00A85EE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w:t>
      </w:r>
      <w:r w:rsidR="009D43BB" w:rsidRPr="00331A56">
        <w:rPr>
          <w:rFonts w:ascii="Times New Roman" w:hAnsi="Times New Roman"/>
          <w:sz w:val="24"/>
          <w:szCs w:val="24"/>
          <w:lang w:val="uk-UA"/>
        </w:rPr>
        <w:t xml:space="preserve"> </w:t>
      </w:r>
      <w:r w:rsidR="008F68A7">
        <w:rPr>
          <w:rFonts w:ascii="Times New Roman" w:hAnsi="Times New Roman"/>
          <w:sz w:val="24"/>
          <w:szCs w:val="24"/>
          <w:lang w:val="uk-UA"/>
        </w:rPr>
        <w:t>4</w:t>
      </w:r>
      <w:r w:rsidR="009D43BB" w:rsidRPr="009E2E86">
        <w:rPr>
          <w:rFonts w:ascii="Times New Roman" w:hAnsi="Times New Roman"/>
          <w:sz w:val="24"/>
          <w:szCs w:val="24"/>
          <w:lang w:val="uk-UA"/>
        </w:rPr>
        <w:t xml:space="preserve"> заяв</w:t>
      </w:r>
      <w:r w:rsidR="008F68A7">
        <w:rPr>
          <w:rFonts w:ascii="Times New Roman" w:hAnsi="Times New Roman"/>
          <w:sz w:val="24"/>
          <w:szCs w:val="24"/>
          <w:lang w:val="uk-UA"/>
        </w:rPr>
        <w:t>и</w:t>
      </w:r>
      <w:r w:rsidR="009D43BB" w:rsidRPr="009E2E86">
        <w:rPr>
          <w:rFonts w:ascii="Times New Roman" w:hAnsi="Times New Roman"/>
          <w:sz w:val="24"/>
          <w:szCs w:val="24"/>
          <w:lang w:val="uk-UA"/>
        </w:rPr>
        <w:t xml:space="preserve"> бул</w:t>
      </w:r>
      <w:r w:rsidR="00E61D4F" w:rsidRPr="009E2E86">
        <w:rPr>
          <w:rFonts w:ascii="Times New Roman" w:hAnsi="Times New Roman"/>
          <w:sz w:val="24"/>
          <w:szCs w:val="24"/>
          <w:lang w:val="uk-UA"/>
        </w:rPr>
        <w:t>о</w:t>
      </w:r>
      <w:r w:rsidR="009D43BB" w:rsidRPr="009E2E86">
        <w:rPr>
          <w:rFonts w:ascii="Times New Roman" w:hAnsi="Times New Roman"/>
          <w:sz w:val="24"/>
          <w:szCs w:val="24"/>
          <w:lang w:val="uk-UA"/>
        </w:rPr>
        <w:t xml:space="preserve"> повернут</w:t>
      </w:r>
      <w:r w:rsidR="00E61D4F" w:rsidRPr="009E2E86">
        <w:rPr>
          <w:rFonts w:ascii="Times New Roman" w:hAnsi="Times New Roman"/>
          <w:sz w:val="24"/>
          <w:szCs w:val="24"/>
          <w:lang w:val="uk-UA"/>
        </w:rPr>
        <w:t>о</w:t>
      </w:r>
      <w:r w:rsidR="009D43BB" w:rsidRPr="009E2E86">
        <w:rPr>
          <w:rFonts w:ascii="Times New Roman" w:hAnsi="Times New Roman"/>
          <w:sz w:val="24"/>
          <w:szCs w:val="24"/>
          <w:lang w:val="uk-UA"/>
        </w:rPr>
        <w:t xml:space="preserve"> заявникам</w:t>
      </w:r>
      <w:r w:rsidR="007A63FC" w:rsidRPr="009E2E86">
        <w:rPr>
          <w:rFonts w:ascii="Times New Roman" w:hAnsi="Times New Roman"/>
          <w:sz w:val="24"/>
          <w:szCs w:val="24"/>
          <w:lang w:val="uk-UA"/>
        </w:rPr>
        <w:t>;</w:t>
      </w:r>
      <w:r w:rsidR="002E6BD3" w:rsidRPr="009E2E86">
        <w:rPr>
          <w:rFonts w:ascii="Times New Roman" w:hAnsi="Times New Roman"/>
          <w:sz w:val="24"/>
          <w:szCs w:val="24"/>
          <w:lang w:val="uk-UA"/>
        </w:rPr>
        <w:t xml:space="preserve"> </w:t>
      </w:r>
    </w:p>
    <w:p w:rsidR="00AA781F" w:rsidRDefault="00AA781F" w:rsidP="00AA781F">
      <w:pPr>
        <w:pStyle w:val="a3"/>
        <w:tabs>
          <w:tab w:val="left" w:pos="993"/>
        </w:tabs>
        <w:spacing w:after="0" w:line="240" w:lineRule="auto"/>
        <w:ind w:left="709"/>
        <w:jc w:val="both"/>
        <w:rPr>
          <w:rFonts w:ascii="Times New Roman" w:hAnsi="Times New Roman"/>
          <w:sz w:val="24"/>
          <w:szCs w:val="24"/>
        </w:rPr>
      </w:pPr>
      <w:r w:rsidRPr="009E2E86">
        <w:rPr>
          <w:rFonts w:ascii="Times New Roman" w:hAnsi="Times New Roman"/>
          <w:sz w:val="24"/>
          <w:szCs w:val="24"/>
        </w:rPr>
        <w:t xml:space="preserve">- </w:t>
      </w:r>
      <w:r w:rsidR="005C0B81">
        <w:rPr>
          <w:rFonts w:ascii="Times New Roman" w:hAnsi="Times New Roman"/>
          <w:sz w:val="24"/>
          <w:szCs w:val="24"/>
        </w:rPr>
        <w:t>5</w:t>
      </w:r>
      <w:r w:rsidR="009E2E86" w:rsidRPr="009E2E86">
        <w:rPr>
          <w:rFonts w:ascii="Times New Roman" w:hAnsi="Times New Roman"/>
          <w:sz w:val="24"/>
          <w:szCs w:val="24"/>
        </w:rPr>
        <w:t xml:space="preserve"> </w:t>
      </w:r>
      <w:r w:rsidRPr="009E2E86">
        <w:rPr>
          <w:rFonts w:ascii="Times New Roman" w:hAnsi="Times New Roman"/>
          <w:sz w:val="24"/>
          <w:szCs w:val="24"/>
        </w:rPr>
        <w:t>заяв ухвалою суду залишено без задоволення</w:t>
      </w:r>
      <w:r w:rsidR="007A63FC" w:rsidRPr="009E2E86">
        <w:rPr>
          <w:rFonts w:ascii="Times New Roman" w:hAnsi="Times New Roman"/>
          <w:sz w:val="24"/>
          <w:szCs w:val="24"/>
        </w:rPr>
        <w:t>;</w:t>
      </w:r>
    </w:p>
    <w:p w:rsidR="00D2337A" w:rsidRPr="009E2E86" w:rsidRDefault="00D2337A" w:rsidP="00AA781F">
      <w:pPr>
        <w:pStyle w:val="a3"/>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FF77B2">
        <w:rPr>
          <w:rFonts w:ascii="Times New Roman" w:hAnsi="Times New Roman"/>
          <w:sz w:val="24"/>
          <w:szCs w:val="24"/>
        </w:rPr>
        <w:t>по</w:t>
      </w:r>
      <w:r>
        <w:rPr>
          <w:rFonts w:ascii="Times New Roman" w:hAnsi="Times New Roman"/>
          <w:sz w:val="24"/>
          <w:szCs w:val="24"/>
        </w:rPr>
        <w:t xml:space="preserve"> </w:t>
      </w:r>
      <w:r w:rsidR="005C0B81">
        <w:rPr>
          <w:rFonts w:ascii="Times New Roman" w:hAnsi="Times New Roman"/>
          <w:sz w:val="24"/>
          <w:szCs w:val="24"/>
        </w:rPr>
        <w:t>1</w:t>
      </w:r>
      <w:r>
        <w:rPr>
          <w:rFonts w:ascii="Times New Roman" w:hAnsi="Times New Roman"/>
          <w:sz w:val="24"/>
          <w:szCs w:val="24"/>
        </w:rPr>
        <w:t xml:space="preserve"> заяв</w:t>
      </w:r>
      <w:r w:rsidR="00B12141">
        <w:rPr>
          <w:rFonts w:ascii="Times New Roman" w:hAnsi="Times New Roman"/>
          <w:sz w:val="24"/>
          <w:szCs w:val="24"/>
        </w:rPr>
        <w:t>і</w:t>
      </w:r>
      <w:r w:rsidR="00FF77B2">
        <w:rPr>
          <w:rFonts w:ascii="Times New Roman" w:hAnsi="Times New Roman"/>
          <w:sz w:val="24"/>
          <w:szCs w:val="24"/>
        </w:rPr>
        <w:t xml:space="preserve"> винесено ухвалу про</w:t>
      </w:r>
      <w:r>
        <w:rPr>
          <w:rFonts w:ascii="Times New Roman" w:hAnsi="Times New Roman"/>
          <w:sz w:val="24"/>
          <w:szCs w:val="24"/>
        </w:rPr>
        <w:t xml:space="preserve"> відмов</w:t>
      </w:r>
      <w:r w:rsidR="00FF77B2">
        <w:rPr>
          <w:rFonts w:ascii="Times New Roman" w:hAnsi="Times New Roman"/>
          <w:sz w:val="24"/>
          <w:szCs w:val="24"/>
        </w:rPr>
        <w:t>у у задоволені</w:t>
      </w:r>
      <w:r>
        <w:rPr>
          <w:rFonts w:ascii="Times New Roman" w:hAnsi="Times New Roman"/>
          <w:sz w:val="24"/>
          <w:szCs w:val="24"/>
        </w:rPr>
        <w:t>;</w:t>
      </w:r>
    </w:p>
    <w:p w:rsidR="0049721B" w:rsidRPr="00331A56" w:rsidRDefault="00AA781F" w:rsidP="00AA781F">
      <w:pPr>
        <w:pStyle w:val="a3"/>
        <w:tabs>
          <w:tab w:val="left" w:pos="993"/>
        </w:tabs>
        <w:spacing w:after="0" w:line="240" w:lineRule="auto"/>
        <w:ind w:left="709"/>
        <w:jc w:val="both"/>
        <w:rPr>
          <w:rFonts w:ascii="Times New Roman" w:hAnsi="Times New Roman"/>
          <w:sz w:val="24"/>
          <w:szCs w:val="24"/>
        </w:rPr>
      </w:pPr>
      <w:r w:rsidRPr="009E2E86">
        <w:rPr>
          <w:rFonts w:ascii="Times New Roman" w:hAnsi="Times New Roman"/>
          <w:sz w:val="24"/>
          <w:szCs w:val="24"/>
        </w:rPr>
        <w:t xml:space="preserve">- </w:t>
      </w:r>
      <w:r w:rsidR="005C0B81">
        <w:rPr>
          <w:rFonts w:ascii="Times New Roman" w:hAnsi="Times New Roman"/>
          <w:sz w:val="24"/>
          <w:szCs w:val="24"/>
        </w:rPr>
        <w:t>4</w:t>
      </w:r>
      <w:r w:rsidRPr="009E2E86">
        <w:rPr>
          <w:rFonts w:ascii="Times New Roman" w:hAnsi="Times New Roman"/>
          <w:sz w:val="24"/>
          <w:szCs w:val="24"/>
        </w:rPr>
        <w:t xml:space="preserve"> заяв</w:t>
      </w:r>
      <w:r w:rsidR="00B12141">
        <w:rPr>
          <w:rFonts w:ascii="Times New Roman" w:hAnsi="Times New Roman"/>
          <w:sz w:val="24"/>
          <w:szCs w:val="24"/>
        </w:rPr>
        <w:t>и</w:t>
      </w:r>
      <w:r>
        <w:rPr>
          <w:rFonts w:ascii="Times New Roman" w:hAnsi="Times New Roman"/>
          <w:sz w:val="24"/>
          <w:szCs w:val="24"/>
        </w:rPr>
        <w:t xml:space="preserve"> задоволено.</w:t>
      </w:r>
    </w:p>
    <w:p w:rsidR="0049721B" w:rsidRDefault="0049721B" w:rsidP="004D40D7">
      <w:pPr>
        <w:spacing w:after="0" w:line="240" w:lineRule="auto"/>
        <w:ind w:firstLine="708"/>
        <w:jc w:val="both"/>
        <w:rPr>
          <w:rFonts w:ascii="Times New Roman" w:hAnsi="Times New Roman"/>
          <w:sz w:val="24"/>
          <w:szCs w:val="24"/>
          <w:lang w:val="uk-UA"/>
        </w:rPr>
      </w:pPr>
      <w:r w:rsidRPr="00331A56">
        <w:rPr>
          <w:rFonts w:ascii="Times New Roman" w:hAnsi="Times New Roman"/>
          <w:sz w:val="24"/>
          <w:szCs w:val="24"/>
          <w:lang w:val="uk-UA"/>
        </w:rPr>
        <w:t>Залишок нерозглянутих заяв</w:t>
      </w:r>
      <w:r w:rsidR="007A63FC">
        <w:rPr>
          <w:rFonts w:ascii="Times New Roman" w:hAnsi="Times New Roman"/>
          <w:sz w:val="24"/>
          <w:szCs w:val="24"/>
          <w:lang w:val="uk-UA"/>
        </w:rPr>
        <w:t xml:space="preserve"> за нововиявленими обставинами </w:t>
      </w:r>
      <w:r w:rsidRPr="00331A56">
        <w:rPr>
          <w:rFonts w:ascii="Times New Roman" w:hAnsi="Times New Roman"/>
          <w:sz w:val="24"/>
          <w:szCs w:val="24"/>
          <w:lang w:val="uk-UA"/>
        </w:rPr>
        <w:t xml:space="preserve">на кінець звітного періоду складає </w:t>
      </w:r>
      <w:r w:rsidR="00B12141">
        <w:rPr>
          <w:rFonts w:ascii="Times New Roman" w:hAnsi="Times New Roman"/>
          <w:sz w:val="24"/>
          <w:szCs w:val="24"/>
          <w:lang w:val="uk-UA"/>
        </w:rPr>
        <w:t>6</w:t>
      </w:r>
      <w:r w:rsidR="00920E1B">
        <w:rPr>
          <w:rFonts w:ascii="Times New Roman" w:hAnsi="Times New Roman"/>
          <w:sz w:val="24"/>
          <w:szCs w:val="24"/>
          <w:lang w:val="uk-UA"/>
        </w:rPr>
        <w:t xml:space="preserve"> </w:t>
      </w:r>
      <w:r w:rsidRPr="00331A56">
        <w:rPr>
          <w:rFonts w:ascii="Times New Roman" w:hAnsi="Times New Roman"/>
          <w:sz w:val="24"/>
          <w:szCs w:val="24"/>
          <w:lang w:val="uk-UA"/>
        </w:rPr>
        <w:t>заяв.</w:t>
      </w:r>
    </w:p>
    <w:p w:rsidR="00FF77B2" w:rsidRPr="00331A56" w:rsidRDefault="00FF77B2" w:rsidP="004D40D7">
      <w:pPr>
        <w:spacing w:after="0" w:line="240" w:lineRule="auto"/>
        <w:ind w:firstLine="708"/>
        <w:jc w:val="both"/>
        <w:rPr>
          <w:rFonts w:ascii="Times New Roman" w:hAnsi="Times New Roman"/>
          <w:sz w:val="24"/>
          <w:szCs w:val="24"/>
          <w:lang w:val="uk-UA"/>
        </w:rPr>
      </w:pPr>
    </w:p>
    <w:p w:rsidR="00575EF6" w:rsidRPr="00331A56" w:rsidRDefault="009F2A3B" w:rsidP="00575EF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Розгляд заяв, подань, клопотань</w:t>
      </w:r>
    </w:p>
    <w:p w:rsidR="007516B6" w:rsidRPr="00950A25" w:rsidRDefault="007516B6" w:rsidP="007516B6">
      <w:pPr>
        <w:tabs>
          <w:tab w:val="left" w:pos="993"/>
        </w:tabs>
        <w:spacing w:after="0" w:line="240" w:lineRule="auto"/>
        <w:ind w:right="-1" w:firstLine="720"/>
        <w:jc w:val="both"/>
        <w:rPr>
          <w:rFonts w:ascii="Times New Roman" w:hAnsi="Times New Roman"/>
          <w:sz w:val="24"/>
          <w:szCs w:val="24"/>
          <w:lang w:val="uk-UA"/>
        </w:rPr>
      </w:pPr>
      <w:r w:rsidRPr="00950A25">
        <w:rPr>
          <w:rFonts w:ascii="Times New Roman" w:hAnsi="Times New Roman"/>
          <w:sz w:val="24"/>
          <w:szCs w:val="24"/>
          <w:lang w:val="uk-UA"/>
        </w:rPr>
        <w:t xml:space="preserve">У звітному періоді на розгляді в Запорізькому окружному адміністративному суді знаходилось </w:t>
      </w:r>
      <w:r>
        <w:rPr>
          <w:rFonts w:ascii="Times New Roman" w:hAnsi="Times New Roman"/>
          <w:sz w:val="24"/>
          <w:szCs w:val="24"/>
          <w:lang w:val="uk-UA"/>
        </w:rPr>
        <w:t>1480</w:t>
      </w:r>
      <w:r w:rsidRPr="00950A25">
        <w:rPr>
          <w:rFonts w:ascii="Times New Roman" w:hAnsi="Times New Roman"/>
          <w:sz w:val="24"/>
          <w:szCs w:val="24"/>
          <w:lang w:val="uk-UA"/>
        </w:rPr>
        <w:t xml:space="preserve"> клопотань, подань, заяв у порядку виконання судових рішень, з яких </w:t>
      </w:r>
      <w:r>
        <w:rPr>
          <w:rFonts w:ascii="Times New Roman" w:hAnsi="Times New Roman"/>
          <w:sz w:val="24"/>
          <w:szCs w:val="24"/>
          <w:lang w:val="uk-UA"/>
        </w:rPr>
        <w:t xml:space="preserve">у </w:t>
      </w:r>
      <w:r w:rsidRPr="00950A25">
        <w:rPr>
          <w:rFonts w:ascii="Times New Roman" w:hAnsi="Times New Roman"/>
          <w:sz w:val="24"/>
          <w:szCs w:val="24"/>
          <w:lang w:val="uk-UA"/>
        </w:rPr>
        <w:t>2017 ро</w:t>
      </w:r>
      <w:r w:rsidR="00B500B2">
        <w:rPr>
          <w:rFonts w:ascii="Times New Roman" w:hAnsi="Times New Roman"/>
          <w:sz w:val="24"/>
          <w:szCs w:val="24"/>
          <w:lang w:val="uk-UA"/>
        </w:rPr>
        <w:t>ці</w:t>
      </w:r>
      <w:r>
        <w:rPr>
          <w:rFonts w:ascii="Times New Roman" w:hAnsi="Times New Roman"/>
          <w:sz w:val="24"/>
          <w:szCs w:val="24"/>
          <w:lang w:val="uk-UA"/>
        </w:rPr>
        <w:t xml:space="preserve"> надійшло1461</w:t>
      </w:r>
      <w:r w:rsidRPr="00950A25">
        <w:rPr>
          <w:rFonts w:ascii="Times New Roman" w:hAnsi="Times New Roman"/>
          <w:sz w:val="24"/>
          <w:szCs w:val="24"/>
          <w:lang w:val="uk-UA"/>
        </w:rPr>
        <w:t xml:space="preserve"> </w:t>
      </w:r>
      <w:r w:rsidR="00B500B2">
        <w:rPr>
          <w:rFonts w:ascii="Times New Roman" w:hAnsi="Times New Roman"/>
          <w:sz w:val="24"/>
          <w:szCs w:val="24"/>
          <w:lang w:val="uk-UA"/>
        </w:rPr>
        <w:t>заява, подання, клопотання у порядку виконання судового рішення</w:t>
      </w:r>
      <w:r w:rsidRPr="00950A25">
        <w:rPr>
          <w:rFonts w:ascii="Times New Roman" w:hAnsi="Times New Roman"/>
          <w:sz w:val="24"/>
          <w:szCs w:val="24"/>
          <w:lang w:val="uk-UA"/>
        </w:rPr>
        <w:t>.</w:t>
      </w:r>
    </w:p>
    <w:p w:rsidR="007516B6" w:rsidRPr="00950A25" w:rsidRDefault="007516B6" w:rsidP="007516B6">
      <w:pPr>
        <w:tabs>
          <w:tab w:val="left" w:pos="993"/>
        </w:tabs>
        <w:spacing w:after="0" w:line="240" w:lineRule="auto"/>
        <w:ind w:right="-1" w:firstLine="720"/>
        <w:jc w:val="both"/>
        <w:rPr>
          <w:rFonts w:ascii="Times New Roman" w:hAnsi="Times New Roman"/>
          <w:sz w:val="24"/>
          <w:szCs w:val="24"/>
          <w:lang w:val="uk-UA"/>
        </w:rPr>
      </w:pPr>
      <w:r w:rsidRPr="00950A25">
        <w:rPr>
          <w:rFonts w:ascii="Times New Roman" w:hAnsi="Times New Roman"/>
          <w:sz w:val="24"/>
          <w:szCs w:val="24"/>
          <w:lang w:val="uk-UA"/>
        </w:rPr>
        <w:t xml:space="preserve">Розглянуто </w:t>
      </w:r>
      <w:r w:rsidR="00B500B2">
        <w:rPr>
          <w:rFonts w:ascii="Times New Roman" w:hAnsi="Times New Roman"/>
          <w:sz w:val="24"/>
          <w:szCs w:val="24"/>
          <w:lang w:val="uk-UA"/>
        </w:rPr>
        <w:t>1442</w:t>
      </w:r>
      <w:r w:rsidRPr="00950A25">
        <w:rPr>
          <w:rFonts w:ascii="Times New Roman" w:hAnsi="Times New Roman"/>
          <w:sz w:val="24"/>
          <w:szCs w:val="24"/>
          <w:lang w:val="uk-UA"/>
        </w:rPr>
        <w:t xml:space="preserve"> заяв</w:t>
      </w:r>
      <w:r w:rsidR="00B500B2">
        <w:rPr>
          <w:rFonts w:ascii="Times New Roman" w:hAnsi="Times New Roman"/>
          <w:sz w:val="24"/>
          <w:szCs w:val="24"/>
          <w:lang w:val="uk-UA"/>
        </w:rPr>
        <w:t>и</w:t>
      </w:r>
      <w:r w:rsidRPr="00950A25">
        <w:rPr>
          <w:rFonts w:ascii="Times New Roman" w:hAnsi="Times New Roman"/>
          <w:sz w:val="24"/>
          <w:szCs w:val="24"/>
          <w:lang w:val="uk-UA"/>
        </w:rPr>
        <w:t xml:space="preserve">, у тому числі </w:t>
      </w:r>
      <w:r w:rsidR="00B500B2">
        <w:rPr>
          <w:rFonts w:ascii="Times New Roman" w:hAnsi="Times New Roman"/>
          <w:sz w:val="24"/>
          <w:szCs w:val="24"/>
          <w:lang w:val="uk-UA"/>
        </w:rPr>
        <w:t>1181</w:t>
      </w:r>
      <w:r w:rsidRPr="00950A25">
        <w:rPr>
          <w:rFonts w:ascii="Times New Roman" w:hAnsi="Times New Roman"/>
          <w:sz w:val="24"/>
          <w:szCs w:val="24"/>
          <w:lang w:val="uk-UA"/>
        </w:rPr>
        <w:t xml:space="preserve"> – задоволено, </w:t>
      </w:r>
      <w:r w:rsidR="009F12C5">
        <w:rPr>
          <w:rFonts w:ascii="Times New Roman" w:hAnsi="Times New Roman"/>
          <w:sz w:val="24"/>
          <w:szCs w:val="24"/>
          <w:lang w:val="uk-UA"/>
        </w:rPr>
        <w:t>38</w:t>
      </w:r>
      <w:r w:rsidR="00DC7396">
        <w:rPr>
          <w:rFonts w:ascii="Times New Roman" w:hAnsi="Times New Roman"/>
          <w:sz w:val="24"/>
          <w:szCs w:val="24"/>
          <w:lang w:val="uk-UA"/>
        </w:rPr>
        <w:t xml:space="preserve"> заяв не розглянуто </w:t>
      </w:r>
      <w:r w:rsidRPr="00950A25">
        <w:rPr>
          <w:rFonts w:ascii="Times New Roman" w:hAnsi="Times New Roman"/>
          <w:sz w:val="24"/>
          <w:szCs w:val="24"/>
          <w:lang w:val="uk-UA"/>
        </w:rPr>
        <w:t>на кінець звітного періоду.</w:t>
      </w:r>
    </w:p>
    <w:p w:rsidR="007516B6" w:rsidRPr="00950A25" w:rsidRDefault="007516B6" w:rsidP="007516B6">
      <w:pPr>
        <w:spacing w:after="0" w:line="240" w:lineRule="auto"/>
        <w:ind w:firstLine="708"/>
        <w:jc w:val="both"/>
        <w:rPr>
          <w:rFonts w:ascii="Times New Roman" w:hAnsi="Times New Roman"/>
          <w:sz w:val="24"/>
          <w:szCs w:val="24"/>
          <w:lang w:val="uk-UA"/>
        </w:rPr>
      </w:pPr>
      <w:r w:rsidRPr="00950A25">
        <w:rPr>
          <w:rFonts w:ascii="Times New Roman" w:hAnsi="Times New Roman"/>
          <w:sz w:val="24"/>
          <w:szCs w:val="24"/>
          <w:lang w:val="uk-UA"/>
        </w:rPr>
        <w:t xml:space="preserve">Під час розгляду справ протягом </w:t>
      </w:r>
      <w:r w:rsidR="009F12C5">
        <w:rPr>
          <w:rFonts w:ascii="Times New Roman" w:hAnsi="Times New Roman"/>
          <w:sz w:val="24"/>
          <w:szCs w:val="24"/>
          <w:lang w:val="uk-UA"/>
        </w:rPr>
        <w:t>звітного періоду</w:t>
      </w:r>
      <w:r w:rsidRPr="00950A25">
        <w:rPr>
          <w:rFonts w:ascii="Times New Roman" w:hAnsi="Times New Roman"/>
          <w:sz w:val="24"/>
          <w:szCs w:val="24"/>
          <w:lang w:val="uk-UA"/>
        </w:rPr>
        <w:t xml:space="preserve"> суддями постановлено:</w:t>
      </w:r>
    </w:p>
    <w:p w:rsidR="007516B6" w:rsidRPr="00950A25" w:rsidRDefault="00111F15" w:rsidP="007516B6">
      <w:pPr>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125</w:t>
      </w:r>
      <w:r w:rsidR="007516B6" w:rsidRPr="00950A25">
        <w:rPr>
          <w:rFonts w:ascii="Times New Roman" w:hAnsi="Times New Roman"/>
          <w:sz w:val="24"/>
          <w:szCs w:val="24"/>
          <w:lang w:val="uk-UA"/>
        </w:rPr>
        <w:t xml:space="preserve"> ухвал щодо вжиття заходів забезпечення адміністративного позову, з яких </w:t>
      </w:r>
      <w:r>
        <w:rPr>
          <w:rFonts w:ascii="Times New Roman" w:hAnsi="Times New Roman"/>
          <w:sz w:val="24"/>
          <w:szCs w:val="24"/>
          <w:lang w:val="uk-UA"/>
        </w:rPr>
        <w:t>25</w:t>
      </w:r>
      <w:r w:rsidR="007516B6" w:rsidRPr="00950A25">
        <w:rPr>
          <w:rFonts w:ascii="Times New Roman" w:hAnsi="Times New Roman"/>
          <w:sz w:val="24"/>
          <w:szCs w:val="24"/>
          <w:lang w:val="uk-UA"/>
        </w:rPr>
        <w:t xml:space="preserve"> </w:t>
      </w:r>
      <w:r>
        <w:rPr>
          <w:rFonts w:ascii="Times New Roman" w:hAnsi="Times New Roman"/>
          <w:sz w:val="24"/>
          <w:szCs w:val="24"/>
          <w:lang w:val="uk-UA"/>
        </w:rPr>
        <w:t>к</w:t>
      </w:r>
      <w:r w:rsidR="007516B6" w:rsidRPr="00950A25">
        <w:rPr>
          <w:rFonts w:ascii="Times New Roman" w:hAnsi="Times New Roman"/>
          <w:sz w:val="24"/>
          <w:szCs w:val="24"/>
          <w:lang w:val="uk-UA"/>
        </w:rPr>
        <w:t>лопотань задоволено;</w:t>
      </w:r>
    </w:p>
    <w:p w:rsidR="00D87878" w:rsidRPr="00BF4EDA" w:rsidRDefault="00D87878" w:rsidP="00D87878">
      <w:pPr>
        <w:numPr>
          <w:ilvl w:val="0"/>
          <w:numId w:val="1"/>
        </w:numPr>
        <w:spacing w:after="0" w:line="240" w:lineRule="auto"/>
        <w:jc w:val="both"/>
        <w:rPr>
          <w:rFonts w:ascii="Times New Roman" w:hAnsi="Times New Roman"/>
          <w:sz w:val="24"/>
          <w:szCs w:val="24"/>
          <w:lang w:val="uk-UA"/>
        </w:rPr>
      </w:pPr>
      <w:r w:rsidRPr="00BF4EDA">
        <w:rPr>
          <w:rFonts w:ascii="Times New Roman" w:hAnsi="Times New Roman"/>
          <w:sz w:val="24"/>
          <w:szCs w:val="24"/>
          <w:lang w:val="uk-UA"/>
        </w:rPr>
        <w:t>5</w:t>
      </w:r>
      <w:r w:rsidR="007516B6" w:rsidRPr="00BF4EDA">
        <w:rPr>
          <w:rFonts w:ascii="Times New Roman" w:hAnsi="Times New Roman"/>
          <w:sz w:val="24"/>
          <w:szCs w:val="24"/>
          <w:lang w:val="uk-UA"/>
        </w:rPr>
        <w:t xml:space="preserve"> </w:t>
      </w:r>
      <w:r w:rsidR="00DC7396" w:rsidRPr="00BF4EDA">
        <w:rPr>
          <w:rFonts w:ascii="Times New Roman" w:hAnsi="Times New Roman"/>
          <w:sz w:val="24"/>
          <w:szCs w:val="24"/>
          <w:lang w:val="uk-UA"/>
        </w:rPr>
        <w:t>ухвал</w:t>
      </w:r>
      <w:r w:rsidR="007516B6" w:rsidRPr="00BF4EDA">
        <w:rPr>
          <w:rFonts w:ascii="Times New Roman" w:hAnsi="Times New Roman"/>
          <w:sz w:val="24"/>
          <w:szCs w:val="24"/>
          <w:lang w:val="uk-UA"/>
        </w:rPr>
        <w:t xml:space="preserve"> з питань забезпечення доказів</w:t>
      </w:r>
      <w:r w:rsidRPr="00BF4EDA">
        <w:rPr>
          <w:rFonts w:ascii="Times New Roman" w:hAnsi="Times New Roman"/>
          <w:sz w:val="24"/>
          <w:szCs w:val="24"/>
          <w:lang w:val="uk-UA"/>
        </w:rPr>
        <w:t xml:space="preserve">, </w:t>
      </w:r>
      <w:r w:rsidR="00DC7396" w:rsidRPr="00BF4EDA">
        <w:rPr>
          <w:rFonts w:ascii="Times New Roman" w:hAnsi="Times New Roman"/>
          <w:sz w:val="24"/>
          <w:szCs w:val="24"/>
          <w:lang w:val="uk-UA"/>
        </w:rPr>
        <w:t xml:space="preserve">з яких </w:t>
      </w:r>
      <w:r w:rsidR="007B272D" w:rsidRPr="00BF4EDA">
        <w:rPr>
          <w:rFonts w:ascii="Times New Roman" w:hAnsi="Times New Roman"/>
          <w:sz w:val="24"/>
          <w:szCs w:val="24"/>
          <w:lang w:val="uk-UA"/>
        </w:rPr>
        <w:t>задоволено</w:t>
      </w:r>
      <w:r w:rsidRPr="00BF4EDA">
        <w:rPr>
          <w:rFonts w:ascii="Times New Roman" w:hAnsi="Times New Roman"/>
          <w:sz w:val="24"/>
          <w:szCs w:val="24"/>
          <w:lang w:val="uk-UA"/>
        </w:rPr>
        <w:t xml:space="preserve"> 1 </w:t>
      </w:r>
      <w:r w:rsidR="007B272D" w:rsidRPr="00BF4EDA">
        <w:rPr>
          <w:rFonts w:ascii="Times New Roman" w:hAnsi="Times New Roman"/>
          <w:sz w:val="24"/>
          <w:szCs w:val="24"/>
          <w:lang w:val="uk-UA"/>
        </w:rPr>
        <w:t>клопотання</w:t>
      </w:r>
      <w:r w:rsidRPr="00BF4EDA">
        <w:rPr>
          <w:rFonts w:ascii="Times New Roman" w:hAnsi="Times New Roman"/>
          <w:sz w:val="24"/>
          <w:szCs w:val="24"/>
          <w:lang w:val="uk-UA"/>
        </w:rPr>
        <w:t>;</w:t>
      </w:r>
    </w:p>
    <w:p w:rsidR="007516B6" w:rsidRDefault="00D311E0" w:rsidP="00C82D29">
      <w:pPr>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7516B6" w:rsidRPr="00D87878">
        <w:rPr>
          <w:rFonts w:ascii="Times New Roman" w:hAnsi="Times New Roman"/>
          <w:sz w:val="24"/>
          <w:szCs w:val="24"/>
          <w:lang w:val="uk-UA"/>
        </w:rPr>
        <w:t xml:space="preserve"> </w:t>
      </w:r>
      <w:r>
        <w:rPr>
          <w:rFonts w:ascii="Times New Roman" w:hAnsi="Times New Roman"/>
          <w:sz w:val="24"/>
          <w:szCs w:val="24"/>
          <w:lang w:val="uk-UA"/>
        </w:rPr>
        <w:t>ухвал</w:t>
      </w:r>
      <w:r w:rsidR="007516B6" w:rsidRPr="00D87878">
        <w:rPr>
          <w:rFonts w:ascii="Times New Roman" w:hAnsi="Times New Roman"/>
          <w:sz w:val="24"/>
          <w:szCs w:val="24"/>
          <w:lang w:val="uk-UA"/>
        </w:rPr>
        <w:t xml:space="preserve"> з питань скасування заходів забезпечення позову, з яких </w:t>
      </w:r>
      <w:r>
        <w:rPr>
          <w:rFonts w:ascii="Times New Roman" w:hAnsi="Times New Roman"/>
          <w:sz w:val="24"/>
          <w:szCs w:val="24"/>
          <w:lang w:val="uk-UA"/>
        </w:rPr>
        <w:t>3</w:t>
      </w:r>
      <w:r w:rsidR="007516B6" w:rsidRPr="00D87878">
        <w:rPr>
          <w:rFonts w:ascii="Times New Roman" w:hAnsi="Times New Roman"/>
          <w:sz w:val="24"/>
          <w:szCs w:val="24"/>
          <w:lang w:val="uk-UA"/>
        </w:rPr>
        <w:t xml:space="preserve"> заяв</w:t>
      </w:r>
      <w:r>
        <w:rPr>
          <w:rFonts w:ascii="Times New Roman" w:hAnsi="Times New Roman"/>
          <w:sz w:val="24"/>
          <w:szCs w:val="24"/>
          <w:lang w:val="uk-UA"/>
        </w:rPr>
        <w:t>и</w:t>
      </w:r>
      <w:r w:rsidR="000E495C">
        <w:rPr>
          <w:rFonts w:ascii="Times New Roman" w:hAnsi="Times New Roman"/>
          <w:sz w:val="24"/>
          <w:szCs w:val="24"/>
          <w:lang w:val="uk-UA"/>
        </w:rPr>
        <w:t xml:space="preserve"> задоволено;</w:t>
      </w:r>
    </w:p>
    <w:p w:rsidR="00BF4EDA" w:rsidRPr="00D87878" w:rsidRDefault="00BF4EDA" w:rsidP="00C82D29">
      <w:pPr>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1305 ухвал </w:t>
      </w:r>
      <w:r w:rsidR="000E495C">
        <w:rPr>
          <w:rFonts w:ascii="Times New Roman" w:hAnsi="Times New Roman"/>
          <w:sz w:val="24"/>
          <w:szCs w:val="24"/>
          <w:lang w:val="uk-UA"/>
        </w:rPr>
        <w:t xml:space="preserve">щодо заяв </w:t>
      </w:r>
      <w:r>
        <w:rPr>
          <w:rFonts w:ascii="Times New Roman" w:hAnsi="Times New Roman"/>
          <w:sz w:val="24"/>
          <w:szCs w:val="24"/>
          <w:lang w:val="uk-UA"/>
        </w:rPr>
        <w:t>у порядку виконання</w:t>
      </w:r>
      <w:r w:rsidR="000E495C">
        <w:rPr>
          <w:rFonts w:ascii="Times New Roman" w:hAnsi="Times New Roman"/>
          <w:sz w:val="24"/>
          <w:szCs w:val="24"/>
          <w:lang w:val="uk-UA"/>
        </w:rPr>
        <w:t xml:space="preserve"> судового рішення, з яких 1152 заяви задоволено.</w:t>
      </w:r>
    </w:p>
    <w:p w:rsidR="00175198" w:rsidRPr="005F7F19" w:rsidRDefault="00FC16B8" w:rsidP="007516B6">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Порушено строк розгляду по </w:t>
      </w:r>
      <w:r w:rsidR="001644F1">
        <w:rPr>
          <w:rFonts w:ascii="Times New Roman" w:hAnsi="Times New Roman"/>
          <w:sz w:val="24"/>
          <w:szCs w:val="24"/>
          <w:lang w:val="uk-UA"/>
        </w:rPr>
        <w:t>3</w:t>
      </w:r>
      <w:r w:rsidR="000E495C">
        <w:rPr>
          <w:rFonts w:ascii="Times New Roman" w:hAnsi="Times New Roman"/>
          <w:sz w:val="24"/>
          <w:szCs w:val="24"/>
          <w:lang w:val="uk-UA"/>
        </w:rPr>
        <w:t>7</w:t>
      </w:r>
      <w:r w:rsidR="005F7F19" w:rsidRPr="005F7F19">
        <w:rPr>
          <w:rFonts w:ascii="Times New Roman" w:hAnsi="Times New Roman"/>
          <w:sz w:val="24"/>
          <w:szCs w:val="24"/>
          <w:lang w:val="uk-UA"/>
        </w:rPr>
        <w:t xml:space="preserve"> </w:t>
      </w:r>
      <w:r w:rsidR="005F7F19">
        <w:rPr>
          <w:rFonts w:ascii="Times New Roman" w:hAnsi="Times New Roman"/>
          <w:sz w:val="24"/>
          <w:szCs w:val="24"/>
          <w:lang w:val="uk-UA"/>
        </w:rPr>
        <w:t>заяв</w:t>
      </w:r>
      <w:r>
        <w:rPr>
          <w:rFonts w:ascii="Times New Roman" w:hAnsi="Times New Roman"/>
          <w:sz w:val="24"/>
          <w:szCs w:val="24"/>
          <w:lang w:val="uk-UA"/>
        </w:rPr>
        <w:t>а</w:t>
      </w:r>
      <w:r w:rsidR="000A4B6E">
        <w:rPr>
          <w:rFonts w:ascii="Times New Roman" w:hAnsi="Times New Roman"/>
          <w:sz w:val="24"/>
          <w:szCs w:val="24"/>
          <w:lang w:val="uk-UA"/>
        </w:rPr>
        <w:t>х</w:t>
      </w:r>
      <w:r w:rsidR="005F7F19" w:rsidRPr="005F7F19">
        <w:rPr>
          <w:rFonts w:ascii="Times New Roman" w:hAnsi="Times New Roman"/>
          <w:sz w:val="24"/>
          <w:szCs w:val="24"/>
          <w:lang w:val="uk-UA"/>
        </w:rPr>
        <w:t xml:space="preserve">, що становить </w:t>
      </w:r>
      <w:r w:rsidR="000E495C">
        <w:rPr>
          <w:rFonts w:ascii="Times New Roman" w:hAnsi="Times New Roman"/>
          <w:b/>
          <w:sz w:val="24"/>
          <w:szCs w:val="24"/>
          <w:lang w:val="uk-UA"/>
        </w:rPr>
        <w:t>2,6</w:t>
      </w:r>
      <w:r w:rsidR="005F7F19" w:rsidRPr="00FC16B8">
        <w:rPr>
          <w:rFonts w:ascii="Times New Roman" w:hAnsi="Times New Roman"/>
          <w:b/>
          <w:sz w:val="24"/>
          <w:szCs w:val="24"/>
          <w:lang w:val="uk-UA"/>
        </w:rPr>
        <w:t>%</w:t>
      </w:r>
      <w:r w:rsidR="005F7F19" w:rsidRPr="005F7F19">
        <w:rPr>
          <w:rFonts w:ascii="Times New Roman" w:hAnsi="Times New Roman"/>
          <w:sz w:val="24"/>
          <w:szCs w:val="24"/>
          <w:lang w:val="uk-UA"/>
        </w:rPr>
        <w:t xml:space="preserve"> від кількості </w:t>
      </w:r>
      <w:r w:rsidR="005F7F19">
        <w:rPr>
          <w:rFonts w:ascii="Times New Roman" w:hAnsi="Times New Roman"/>
          <w:sz w:val="24"/>
          <w:szCs w:val="24"/>
          <w:lang w:val="uk-UA"/>
        </w:rPr>
        <w:t>заяв</w:t>
      </w:r>
      <w:r w:rsidR="005F7F19" w:rsidRPr="005F7F19">
        <w:rPr>
          <w:rFonts w:ascii="Times New Roman" w:hAnsi="Times New Roman"/>
          <w:sz w:val="24"/>
          <w:szCs w:val="24"/>
          <w:lang w:val="uk-UA"/>
        </w:rPr>
        <w:t>, розглянутих у звітному періоді</w:t>
      </w:r>
      <w:r w:rsidR="005F7F19">
        <w:rPr>
          <w:rFonts w:ascii="Times New Roman" w:hAnsi="Times New Roman"/>
          <w:sz w:val="24"/>
          <w:szCs w:val="24"/>
          <w:lang w:val="uk-UA"/>
        </w:rPr>
        <w:t>.</w:t>
      </w:r>
    </w:p>
    <w:p w:rsidR="00175198" w:rsidRDefault="00224721" w:rsidP="00316C9A">
      <w:pPr>
        <w:shd w:val="clear" w:color="auto" w:fill="FFFFFF"/>
        <w:spacing w:before="100" w:beforeAutospacing="1" w:after="100" w:afterAutospacing="1" w:line="240" w:lineRule="auto"/>
        <w:ind w:left="360"/>
        <w:jc w:val="center"/>
        <w:rPr>
          <w:rFonts w:ascii="Times New Roman" w:hAnsi="Times New Roman" w:cs="Times New Roman"/>
          <w:b/>
          <w:sz w:val="24"/>
          <w:szCs w:val="24"/>
          <w:lang w:val="uk-UA"/>
        </w:rPr>
      </w:pPr>
      <w:r w:rsidRPr="00950A25">
        <w:rPr>
          <w:rFonts w:ascii="Times New Roman" w:hAnsi="Times New Roman"/>
          <w:b/>
          <w:bCs/>
          <w:sz w:val="26"/>
          <w:szCs w:val="26"/>
          <w:lang w:val="uk-UA"/>
        </w:rPr>
        <w:t>Відомості щодо справляння, звільнення від сплати та повернення судового збору</w:t>
      </w:r>
    </w:p>
    <w:p w:rsidR="00175198" w:rsidRDefault="003A125D" w:rsidP="00175198">
      <w:pPr>
        <w:pStyle w:val="a3"/>
        <w:tabs>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С</w:t>
      </w:r>
      <w:r w:rsidR="00175198" w:rsidRPr="0029774D">
        <w:rPr>
          <w:rFonts w:ascii="Times New Roman" w:hAnsi="Times New Roman" w:cs="Times New Roman"/>
          <w:sz w:val="24"/>
          <w:szCs w:val="24"/>
        </w:rPr>
        <w:t>ума судового збору, що сплачена добровіл</w:t>
      </w:r>
      <w:r w:rsidR="00CC6045" w:rsidRPr="0029774D">
        <w:rPr>
          <w:rFonts w:ascii="Times New Roman" w:hAnsi="Times New Roman" w:cs="Times New Roman"/>
          <w:sz w:val="24"/>
          <w:szCs w:val="24"/>
        </w:rPr>
        <w:t xml:space="preserve">ьно, склала </w:t>
      </w:r>
      <w:r w:rsidR="003B2152">
        <w:rPr>
          <w:rFonts w:ascii="Times New Roman" w:hAnsi="Times New Roman" w:cs="Times New Roman"/>
          <w:sz w:val="24"/>
          <w:szCs w:val="24"/>
        </w:rPr>
        <w:t>28 289 280</w:t>
      </w:r>
      <w:r w:rsidR="003B2152" w:rsidRPr="0029774D">
        <w:rPr>
          <w:rFonts w:ascii="Times New Roman" w:hAnsi="Times New Roman" w:cs="Times New Roman"/>
          <w:sz w:val="24"/>
          <w:szCs w:val="24"/>
        </w:rPr>
        <w:t>,00 </w:t>
      </w:r>
      <w:r w:rsidR="003B2152">
        <w:rPr>
          <w:rFonts w:ascii="Times New Roman" w:hAnsi="Times New Roman" w:cs="Times New Roman"/>
          <w:sz w:val="24"/>
          <w:szCs w:val="24"/>
        </w:rPr>
        <w:t xml:space="preserve"> грн., що на 143,6% більше, ніж у 2016 році (</w:t>
      </w:r>
      <w:r w:rsidR="000F612E">
        <w:rPr>
          <w:rFonts w:ascii="Times New Roman" w:hAnsi="Times New Roman" w:cs="Times New Roman"/>
          <w:sz w:val="24"/>
          <w:szCs w:val="24"/>
        </w:rPr>
        <w:t>19</w:t>
      </w:r>
      <w:r w:rsidR="00BD48B3" w:rsidRPr="0029774D">
        <w:rPr>
          <w:rFonts w:ascii="Times New Roman" w:hAnsi="Times New Roman" w:cs="Times New Roman"/>
          <w:sz w:val="24"/>
          <w:szCs w:val="24"/>
        </w:rPr>
        <w:t> </w:t>
      </w:r>
      <w:r w:rsidR="000F612E">
        <w:rPr>
          <w:rFonts w:ascii="Times New Roman" w:hAnsi="Times New Roman" w:cs="Times New Roman"/>
          <w:sz w:val="24"/>
          <w:szCs w:val="24"/>
        </w:rPr>
        <w:t>696</w:t>
      </w:r>
      <w:r w:rsidR="00BD48B3" w:rsidRPr="0029774D">
        <w:rPr>
          <w:rFonts w:ascii="Times New Roman" w:hAnsi="Times New Roman" w:cs="Times New Roman"/>
          <w:sz w:val="24"/>
          <w:szCs w:val="24"/>
        </w:rPr>
        <w:t> </w:t>
      </w:r>
      <w:r w:rsidR="000F612E">
        <w:rPr>
          <w:rFonts w:ascii="Times New Roman" w:hAnsi="Times New Roman" w:cs="Times New Roman"/>
          <w:sz w:val="24"/>
          <w:szCs w:val="24"/>
        </w:rPr>
        <w:t>3</w:t>
      </w:r>
      <w:r w:rsidR="0091005F">
        <w:rPr>
          <w:rFonts w:ascii="Times New Roman" w:hAnsi="Times New Roman" w:cs="Times New Roman"/>
          <w:sz w:val="24"/>
          <w:szCs w:val="24"/>
        </w:rPr>
        <w:t>74</w:t>
      </w:r>
      <w:r w:rsidR="00BD48B3" w:rsidRPr="0029774D">
        <w:rPr>
          <w:rFonts w:ascii="Times New Roman" w:hAnsi="Times New Roman" w:cs="Times New Roman"/>
          <w:sz w:val="24"/>
          <w:szCs w:val="24"/>
        </w:rPr>
        <w:t>,00</w:t>
      </w:r>
      <w:r w:rsidR="00175198" w:rsidRPr="0029774D">
        <w:rPr>
          <w:rFonts w:ascii="Times New Roman" w:hAnsi="Times New Roman" w:cs="Times New Roman"/>
          <w:sz w:val="24"/>
          <w:szCs w:val="24"/>
        </w:rPr>
        <w:t> грн.</w:t>
      </w:r>
      <w:r w:rsidR="003B2152">
        <w:rPr>
          <w:rFonts w:ascii="Times New Roman" w:hAnsi="Times New Roman" w:cs="Times New Roman"/>
          <w:sz w:val="24"/>
          <w:szCs w:val="24"/>
        </w:rPr>
        <w:t>)</w:t>
      </w:r>
      <w:r w:rsidR="00175198" w:rsidRPr="0029774D">
        <w:rPr>
          <w:rFonts w:ascii="Times New Roman" w:hAnsi="Times New Roman" w:cs="Times New Roman"/>
          <w:sz w:val="24"/>
          <w:szCs w:val="24"/>
        </w:rPr>
        <w:t xml:space="preserve">, на </w:t>
      </w:r>
      <w:r w:rsidR="004C0427">
        <w:rPr>
          <w:rFonts w:ascii="Times New Roman" w:hAnsi="Times New Roman" w:cs="Times New Roman"/>
          <w:sz w:val="24"/>
          <w:szCs w:val="24"/>
        </w:rPr>
        <w:t>1135</w:t>
      </w:r>
      <w:r w:rsidR="00175198" w:rsidRPr="0029774D">
        <w:rPr>
          <w:rFonts w:ascii="Times New Roman" w:hAnsi="Times New Roman" w:cs="Times New Roman"/>
          <w:sz w:val="24"/>
          <w:szCs w:val="24"/>
        </w:rPr>
        <w:t xml:space="preserve">% </w:t>
      </w:r>
      <w:r w:rsidR="00BD48B3" w:rsidRPr="0029774D">
        <w:rPr>
          <w:rFonts w:ascii="Times New Roman" w:hAnsi="Times New Roman" w:cs="Times New Roman"/>
          <w:sz w:val="24"/>
          <w:szCs w:val="24"/>
        </w:rPr>
        <w:t>бі</w:t>
      </w:r>
      <w:r w:rsidR="0029774D" w:rsidRPr="0029774D">
        <w:rPr>
          <w:rFonts w:ascii="Times New Roman" w:hAnsi="Times New Roman" w:cs="Times New Roman"/>
          <w:sz w:val="24"/>
          <w:szCs w:val="24"/>
        </w:rPr>
        <w:t>ль</w:t>
      </w:r>
      <w:r w:rsidR="00BD48B3" w:rsidRPr="0029774D">
        <w:rPr>
          <w:rFonts w:ascii="Times New Roman" w:hAnsi="Times New Roman" w:cs="Times New Roman"/>
          <w:sz w:val="24"/>
          <w:szCs w:val="24"/>
        </w:rPr>
        <w:t>ше</w:t>
      </w:r>
      <w:r w:rsidR="00175198" w:rsidRPr="0029774D">
        <w:rPr>
          <w:rFonts w:ascii="Times New Roman" w:hAnsi="Times New Roman" w:cs="Times New Roman"/>
          <w:sz w:val="24"/>
          <w:szCs w:val="24"/>
        </w:rPr>
        <w:t xml:space="preserve">, ніж у </w:t>
      </w:r>
      <w:r w:rsidR="00175198" w:rsidRPr="000A5BA0">
        <w:rPr>
          <w:rFonts w:ascii="Times New Roman" w:hAnsi="Times New Roman" w:cs="Times New Roman"/>
          <w:sz w:val="24"/>
          <w:szCs w:val="24"/>
        </w:rPr>
        <w:t>201</w:t>
      </w:r>
      <w:r w:rsidR="000F612E">
        <w:rPr>
          <w:rFonts w:ascii="Times New Roman" w:hAnsi="Times New Roman" w:cs="Times New Roman"/>
          <w:sz w:val="24"/>
          <w:szCs w:val="24"/>
        </w:rPr>
        <w:t>5</w:t>
      </w:r>
      <w:r w:rsidR="00175198" w:rsidRPr="000A5BA0">
        <w:rPr>
          <w:rFonts w:ascii="Times New Roman" w:hAnsi="Times New Roman" w:cs="Times New Roman"/>
          <w:sz w:val="24"/>
          <w:szCs w:val="24"/>
        </w:rPr>
        <w:t xml:space="preserve"> ро</w:t>
      </w:r>
      <w:r w:rsidR="0029774D">
        <w:rPr>
          <w:rFonts w:ascii="Times New Roman" w:hAnsi="Times New Roman" w:cs="Times New Roman"/>
          <w:sz w:val="24"/>
          <w:szCs w:val="24"/>
        </w:rPr>
        <w:t xml:space="preserve">ці </w:t>
      </w:r>
      <w:r w:rsidR="00BD48B3">
        <w:rPr>
          <w:rFonts w:ascii="Times New Roman" w:hAnsi="Times New Roman" w:cs="Times New Roman"/>
          <w:sz w:val="24"/>
          <w:szCs w:val="24"/>
        </w:rPr>
        <w:t>(</w:t>
      </w:r>
      <w:r w:rsidR="000F612E" w:rsidRPr="0029774D">
        <w:rPr>
          <w:rFonts w:ascii="Times New Roman" w:hAnsi="Times New Roman" w:cs="Times New Roman"/>
          <w:sz w:val="24"/>
          <w:szCs w:val="24"/>
        </w:rPr>
        <w:t>2 491 441,00 грн</w:t>
      </w:r>
      <w:r w:rsidR="0029774D">
        <w:rPr>
          <w:rFonts w:ascii="Times New Roman" w:hAnsi="Times New Roman" w:cs="Times New Roman"/>
          <w:sz w:val="24"/>
          <w:szCs w:val="24"/>
        </w:rPr>
        <w:t>.</w:t>
      </w:r>
      <w:r w:rsidR="00BD48B3">
        <w:rPr>
          <w:rFonts w:ascii="Times New Roman" w:hAnsi="Times New Roman" w:cs="Times New Roman"/>
          <w:sz w:val="24"/>
          <w:szCs w:val="24"/>
        </w:rPr>
        <w:t>)</w:t>
      </w:r>
      <w:r w:rsidR="00175198" w:rsidRPr="000A5BA0">
        <w:rPr>
          <w:rFonts w:ascii="Times New Roman" w:hAnsi="Times New Roman" w:cs="Times New Roman"/>
          <w:sz w:val="24"/>
          <w:szCs w:val="24"/>
        </w:rPr>
        <w:t xml:space="preserve">, </w:t>
      </w:r>
      <w:r w:rsidR="00304F50">
        <w:rPr>
          <w:rFonts w:ascii="Times New Roman" w:hAnsi="Times New Roman" w:cs="Times New Roman"/>
          <w:sz w:val="24"/>
          <w:szCs w:val="24"/>
        </w:rPr>
        <w:t>та</w:t>
      </w:r>
      <w:r w:rsidR="00175198" w:rsidRPr="000A5BA0">
        <w:rPr>
          <w:rFonts w:ascii="Times New Roman" w:hAnsi="Times New Roman" w:cs="Times New Roman"/>
          <w:sz w:val="24"/>
          <w:szCs w:val="24"/>
        </w:rPr>
        <w:t xml:space="preserve"> на </w:t>
      </w:r>
      <w:r w:rsidR="00613FEC">
        <w:rPr>
          <w:rFonts w:ascii="Times New Roman" w:hAnsi="Times New Roman" w:cs="Times New Roman"/>
          <w:sz w:val="24"/>
          <w:szCs w:val="24"/>
        </w:rPr>
        <w:t>3903</w:t>
      </w:r>
      <w:r w:rsidR="0013307C">
        <w:rPr>
          <w:rFonts w:ascii="Times New Roman" w:hAnsi="Times New Roman" w:cs="Times New Roman"/>
          <w:sz w:val="24"/>
          <w:szCs w:val="24"/>
        </w:rPr>
        <w:t xml:space="preserve">% </w:t>
      </w:r>
      <w:r w:rsidR="00304F50">
        <w:rPr>
          <w:rFonts w:ascii="Times New Roman" w:hAnsi="Times New Roman" w:cs="Times New Roman"/>
          <w:sz w:val="24"/>
          <w:szCs w:val="24"/>
        </w:rPr>
        <w:t>бі</w:t>
      </w:r>
      <w:r w:rsidR="0029774D">
        <w:rPr>
          <w:rFonts w:ascii="Times New Roman" w:hAnsi="Times New Roman" w:cs="Times New Roman"/>
          <w:sz w:val="24"/>
          <w:szCs w:val="24"/>
        </w:rPr>
        <w:t>ль</w:t>
      </w:r>
      <w:r w:rsidR="00304F50">
        <w:rPr>
          <w:rFonts w:ascii="Times New Roman" w:hAnsi="Times New Roman" w:cs="Times New Roman"/>
          <w:sz w:val="24"/>
          <w:szCs w:val="24"/>
        </w:rPr>
        <w:t>ше</w:t>
      </w:r>
      <w:r w:rsidR="0013307C">
        <w:rPr>
          <w:rFonts w:ascii="Times New Roman" w:hAnsi="Times New Roman" w:cs="Times New Roman"/>
          <w:sz w:val="24"/>
          <w:szCs w:val="24"/>
        </w:rPr>
        <w:t>, ніж 201</w:t>
      </w:r>
      <w:r w:rsidR="000F612E">
        <w:rPr>
          <w:rFonts w:ascii="Times New Roman" w:hAnsi="Times New Roman" w:cs="Times New Roman"/>
          <w:sz w:val="24"/>
          <w:szCs w:val="24"/>
        </w:rPr>
        <w:t>4</w:t>
      </w:r>
      <w:r w:rsidR="0013307C">
        <w:rPr>
          <w:rFonts w:ascii="Times New Roman" w:hAnsi="Times New Roman" w:cs="Times New Roman"/>
          <w:sz w:val="24"/>
          <w:szCs w:val="24"/>
        </w:rPr>
        <w:t xml:space="preserve"> ро</w:t>
      </w:r>
      <w:r w:rsidR="0029774D">
        <w:rPr>
          <w:rFonts w:ascii="Times New Roman" w:hAnsi="Times New Roman" w:cs="Times New Roman"/>
          <w:sz w:val="24"/>
          <w:szCs w:val="24"/>
        </w:rPr>
        <w:t xml:space="preserve">ці </w:t>
      </w:r>
      <w:r w:rsidR="00304F50">
        <w:rPr>
          <w:rFonts w:ascii="Times New Roman" w:hAnsi="Times New Roman" w:cs="Times New Roman"/>
          <w:sz w:val="24"/>
          <w:szCs w:val="24"/>
        </w:rPr>
        <w:t>(</w:t>
      </w:r>
      <w:r w:rsidR="000F612E">
        <w:rPr>
          <w:rFonts w:ascii="Times New Roman" w:hAnsi="Times New Roman" w:cs="Times New Roman"/>
          <w:sz w:val="24"/>
          <w:szCs w:val="24"/>
        </w:rPr>
        <w:t>724</w:t>
      </w:r>
      <w:r w:rsidR="000F612E" w:rsidRPr="000A5BA0">
        <w:rPr>
          <w:rFonts w:ascii="Times New Roman" w:hAnsi="Times New Roman" w:cs="Times New Roman"/>
          <w:sz w:val="24"/>
          <w:szCs w:val="24"/>
        </w:rPr>
        <w:t> </w:t>
      </w:r>
      <w:r w:rsidR="000F612E">
        <w:rPr>
          <w:rFonts w:ascii="Times New Roman" w:hAnsi="Times New Roman" w:cs="Times New Roman"/>
          <w:sz w:val="24"/>
          <w:szCs w:val="24"/>
        </w:rPr>
        <w:t>792</w:t>
      </w:r>
      <w:r w:rsidR="000F612E" w:rsidRPr="000A5BA0">
        <w:rPr>
          <w:rFonts w:ascii="Times New Roman" w:hAnsi="Times New Roman" w:cs="Times New Roman"/>
          <w:sz w:val="24"/>
          <w:szCs w:val="24"/>
        </w:rPr>
        <w:t>,00 грн</w:t>
      </w:r>
      <w:r w:rsidR="000F612E">
        <w:rPr>
          <w:rFonts w:ascii="Times New Roman" w:hAnsi="Times New Roman" w:cs="Times New Roman"/>
          <w:sz w:val="24"/>
          <w:szCs w:val="24"/>
        </w:rPr>
        <w:t>.</w:t>
      </w:r>
      <w:r w:rsidR="005A71B9">
        <w:rPr>
          <w:rFonts w:ascii="Times New Roman" w:hAnsi="Times New Roman" w:cs="Times New Roman"/>
          <w:sz w:val="24"/>
          <w:szCs w:val="24"/>
        </w:rPr>
        <w:t>)</w:t>
      </w:r>
      <w:r w:rsidR="00C167C4">
        <w:rPr>
          <w:rFonts w:ascii="Times New Roman" w:hAnsi="Times New Roman" w:cs="Times New Roman"/>
          <w:sz w:val="24"/>
          <w:szCs w:val="24"/>
        </w:rPr>
        <w:t>.</w:t>
      </w:r>
    </w:p>
    <w:p w:rsidR="00652946" w:rsidRPr="00950A25" w:rsidRDefault="00652946" w:rsidP="003B63E0">
      <w:pPr>
        <w:autoSpaceDE w:val="0"/>
        <w:autoSpaceDN w:val="0"/>
        <w:adjustRightInd w:val="0"/>
        <w:spacing w:after="0" w:line="240" w:lineRule="auto"/>
        <w:ind w:firstLine="709"/>
        <w:jc w:val="both"/>
        <w:rPr>
          <w:rFonts w:ascii="Times New Roman" w:hAnsi="Times New Roman"/>
          <w:sz w:val="24"/>
          <w:szCs w:val="24"/>
          <w:lang w:val="uk-UA"/>
        </w:rPr>
      </w:pPr>
      <w:r w:rsidRPr="00950A25">
        <w:rPr>
          <w:rFonts w:ascii="Times New Roman" w:hAnsi="Times New Roman"/>
          <w:sz w:val="24"/>
          <w:szCs w:val="24"/>
          <w:lang w:val="uk-UA"/>
        </w:rPr>
        <w:t xml:space="preserve">Повернуто судового збору у звітному періоді на загальну суму </w:t>
      </w:r>
      <w:r>
        <w:rPr>
          <w:rFonts w:ascii="Times New Roman" w:hAnsi="Times New Roman"/>
          <w:sz w:val="24"/>
          <w:szCs w:val="24"/>
          <w:lang w:val="uk-UA"/>
        </w:rPr>
        <w:t>416</w:t>
      </w:r>
      <w:r w:rsidRPr="00950A25">
        <w:rPr>
          <w:rFonts w:ascii="Times New Roman" w:hAnsi="Times New Roman"/>
          <w:sz w:val="24"/>
          <w:szCs w:val="24"/>
          <w:lang w:val="uk-UA"/>
        </w:rPr>
        <w:t> </w:t>
      </w:r>
      <w:r>
        <w:rPr>
          <w:rFonts w:ascii="Times New Roman" w:hAnsi="Times New Roman"/>
          <w:sz w:val="24"/>
          <w:szCs w:val="24"/>
          <w:lang w:val="uk-UA"/>
        </w:rPr>
        <w:t>509</w:t>
      </w:r>
      <w:r w:rsidRPr="00950A25">
        <w:rPr>
          <w:rFonts w:ascii="Times New Roman" w:hAnsi="Times New Roman"/>
          <w:sz w:val="24"/>
          <w:szCs w:val="24"/>
          <w:lang w:val="uk-UA"/>
        </w:rPr>
        <w:t>,00 грн.</w:t>
      </w:r>
    </w:p>
    <w:p w:rsidR="00914BD5" w:rsidRDefault="005E5707" w:rsidP="003B63E0">
      <w:pPr>
        <w:pStyle w:val="a3"/>
        <w:tabs>
          <w:tab w:val="left" w:pos="993"/>
        </w:tabs>
        <w:spacing w:after="0" w:line="240" w:lineRule="auto"/>
        <w:ind w:left="0" w:firstLine="709"/>
        <w:jc w:val="both"/>
        <w:rPr>
          <w:rFonts w:ascii="Times New Roman" w:hAnsi="Times New Roman" w:cs="Times New Roman"/>
          <w:sz w:val="24"/>
          <w:szCs w:val="24"/>
        </w:rPr>
      </w:pPr>
      <w:r w:rsidRPr="00A8456C">
        <w:rPr>
          <w:rFonts w:ascii="Times New Roman" w:hAnsi="Times New Roman" w:cs="Times New Roman"/>
          <w:sz w:val="24"/>
          <w:szCs w:val="24"/>
        </w:rPr>
        <w:t xml:space="preserve">Сума судового збору, що присуджена до стягнення – </w:t>
      </w:r>
      <w:r w:rsidR="00914BD5">
        <w:rPr>
          <w:rFonts w:ascii="Times New Roman" w:hAnsi="Times New Roman" w:cs="Times New Roman"/>
          <w:sz w:val="24"/>
          <w:szCs w:val="24"/>
        </w:rPr>
        <w:t>16 909</w:t>
      </w:r>
      <w:r w:rsidR="00D47F6F" w:rsidRPr="00D47F6F">
        <w:rPr>
          <w:rFonts w:ascii="Times New Roman" w:hAnsi="Times New Roman" w:cs="Times New Roman"/>
          <w:sz w:val="24"/>
          <w:szCs w:val="24"/>
        </w:rPr>
        <w:t xml:space="preserve"> </w:t>
      </w:r>
      <w:r w:rsidR="00D47F6F" w:rsidRPr="00A8456C">
        <w:rPr>
          <w:rFonts w:ascii="Times New Roman" w:hAnsi="Times New Roman" w:cs="Times New Roman"/>
          <w:sz w:val="24"/>
          <w:szCs w:val="24"/>
        </w:rPr>
        <w:t>грн</w:t>
      </w:r>
      <w:r w:rsidR="00914BD5">
        <w:rPr>
          <w:rFonts w:ascii="Times New Roman" w:hAnsi="Times New Roman" w:cs="Times New Roman"/>
          <w:sz w:val="24"/>
          <w:szCs w:val="24"/>
        </w:rPr>
        <w:t>.</w:t>
      </w:r>
    </w:p>
    <w:p w:rsidR="005E5707" w:rsidRDefault="005E5707" w:rsidP="005E5707">
      <w:pPr>
        <w:pStyle w:val="a3"/>
        <w:tabs>
          <w:tab w:val="left" w:pos="993"/>
        </w:tabs>
        <w:spacing w:after="0" w:line="240" w:lineRule="auto"/>
        <w:ind w:left="0" w:firstLine="720"/>
        <w:jc w:val="both"/>
        <w:rPr>
          <w:rFonts w:ascii="Times New Roman" w:hAnsi="Times New Roman" w:cs="Times New Roman"/>
          <w:sz w:val="24"/>
          <w:szCs w:val="24"/>
        </w:rPr>
      </w:pPr>
      <w:r w:rsidRPr="00A8456C">
        <w:rPr>
          <w:rFonts w:ascii="Times New Roman" w:hAnsi="Times New Roman" w:cs="Times New Roman"/>
          <w:sz w:val="24"/>
          <w:szCs w:val="24"/>
        </w:rPr>
        <w:t xml:space="preserve">Сума судового збору, що не сплачена внаслідок звільнення від сплати відповідно до чинного законодавства, складає </w:t>
      </w:r>
      <w:r w:rsidR="00914BD5">
        <w:rPr>
          <w:rFonts w:ascii="Times New Roman" w:hAnsi="Times New Roman" w:cs="Times New Roman"/>
          <w:sz w:val="24"/>
          <w:szCs w:val="24"/>
        </w:rPr>
        <w:t>3 055 009</w:t>
      </w:r>
      <w:r w:rsidR="00AA13EA" w:rsidRPr="00A8456C">
        <w:rPr>
          <w:rFonts w:ascii="Times New Roman" w:hAnsi="Times New Roman" w:cs="Times New Roman"/>
          <w:sz w:val="24"/>
          <w:szCs w:val="24"/>
        </w:rPr>
        <w:t xml:space="preserve"> </w:t>
      </w:r>
      <w:r w:rsidRPr="00A8456C">
        <w:rPr>
          <w:rFonts w:ascii="Times New Roman" w:hAnsi="Times New Roman" w:cs="Times New Roman"/>
          <w:sz w:val="24"/>
          <w:szCs w:val="24"/>
        </w:rPr>
        <w:t>грн.</w:t>
      </w:r>
    </w:p>
    <w:p w:rsidR="008A0DE8" w:rsidRPr="00A8456C" w:rsidRDefault="008A0DE8" w:rsidP="005E5707">
      <w:pPr>
        <w:pStyle w:val="a3"/>
        <w:tabs>
          <w:tab w:val="left" w:pos="993"/>
        </w:tabs>
        <w:spacing w:after="0" w:line="240" w:lineRule="auto"/>
        <w:ind w:left="0" w:firstLine="720"/>
        <w:jc w:val="both"/>
        <w:rPr>
          <w:rFonts w:ascii="Times New Roman" w:hAnsi="Times New Roman" w:cs="Times New Roman"/>
          <w:sz w:val="24"/>
          <w:szCs w:val="24"/>
        </w:rPr>
      </w:pPr>
      <w:r w:rsidRPr="00331A56">
        <w:rPr>
          <w:rFonts w:ascii="Times New Roman" w:hAnsi="Times New Roman" w:cs="Times New Roman"/>
          <w:sz w:val="24"/>
          <w:szCs w:val="24"/>
        </w:rPr>
        <w:t xml:space="preserve">Із числа задоволених позовів у звітному періоді було присуджено до стягнення </w:t>
      </w:r>
      <w:r>
        <w:rPr>
          <w:rFonts w:ascii="Times New Roman" w:hAnsi="Times New Roman" w:cs="Times New Roman"/>
          <w:sz w:val="24"/>
          <w:szCs w:val="24"/>
        </w:rPr>
        <w:t>305 813 443 грн., що на 4,7% менше ніж у 2016 році (</w:t>
      </w:r>
      <w:r w:rsidRPr="00C1326E">
        <w:rPr>
          <w:rFonts w:ascii="Times New Roman" w:hAnsi="Times New Roman" w:cs="Times New Roman"/>
          <w:b/>
          <w:sz w:val="24"/>
          <w:szCs w:val="24"/>
        </w:rPr>
        <w:t>320 801 473,00</w:t>
      </w:r>
      <w:r>
        <w:rPr>
          <w:rFonts w:ascii="Times New Roman" w:hAnsi="Times New Roman" w:cs="Times New Roman"/>
          <w:sz w:val="24"/>
          <w:szCs w:val="24"/>
        </w:rPr>
        <w:t xml:space="preserve"> грн.),</w:t>
      </w:r>
    </w:p>
    <w:p w:rsidR="00080434" w:rsidRDefault="00080434" w:rsidP="00575EF6">
      <w:pPr>
        <w:spacing w:after="0" w:line="240" w:lineRule="auto"/>
        <w:jc w:val="center"/>
        <w:rPr>
          <w:rFonts w:ascii="Times New Roman" w:hAnsi="Times New Roman" w:cs="Times New Roman"/>
          <w:b/>
          <w:sz w:val="24"/>
          <w:szCs w:val="24"/>
          <w:lang w:val="uk-UA"/>
        </w:rPr>
      </w:pPr>
    </w:p>
    <w:p w:rsidR="00575EF6" w:rsidRPr="00331A56" w:rsidRDefault="00575EF6" w:rsidP="00575EF6">
      <w:pPr>
        <w:spacing w:after="0" w:line="240" w:lineRule="auto"/>
        <w:jc w:val="center"/>
        <w:rPr>
          <w:rFonts w:ascii="Times New Roman" w:hAnsi="Times New Roman" w:cs="Times New Roman"/>
          <w:b/>
          <w:sz w:val="24"/>
          <w:szCs w:val="24"/>
          <w:lang w:val="uk-UA"/>
        </w:rPr>
      </w:pPr>
      <w:r w:rsidRPr="00331A56">
        <w:rPr>
          <w:rFonts w:ascii="Times New Roman" w:hAnsi="Times New Roman" w:cs="Times New Roman"/>
          <w:b/>
          <w:sz w:val="24"/>
          <w:szCs w:val="24"/>
          <w:lang w:val="uk-UA"/>
        </w:rPr>
        <w:lastRenderedPageBreak/>
        <w:t>Звернення судових рішень до примусового виконання</w:t>
      </w:r>
    </w:p>
    <w:p w:rsidR="00832099" w:rsidRPr="00331A56" w:rsidRDefault="00832099" w:rsidP="00584067">
      <w:pPr>
        <w:pStyle w:val="a3"/>
        <w:spacing w:after="0" w:line="240" w:lineRule="auto"/>
        <w:ind w:left="0" w:firstLine="720"/>
        <w:jc w:val="both"/>
        <w:rPr>
          <w:rFonts w:ascii="Times New Roman" w:hAnsi="Times New Roman" w:cs="Times New Roman"/>
          <w:sz w:val="24"/>
          <w:szCs w:val="24"/>
        </w:rPr>
      </w:pPr>
    </w:p>
    <w:p w:rsidR="00F74185" w:rsidRDefault="00CB6616" w:rsidP="009F2A3B">
      <w:pPr>
        <w:pStyle w:val="a3"/>
        <w:spacing w:after="0" w:line="240" w:lineRule="auto"/>
        <w:ind w:left="0" w:firstLine="720"/>
        <w:jc w:val="both"/>
        <w:rPr>
          <w:rFonts w:ascii="Times New Roman" w:hAnsi="Times New Roman" w:cs="Times New Roman"/>
          <w:sz w:val="24"/>
          <w:szCs w:val="24"/>
        </w:rPr>
      </w:pPr>
      <w:r w:rsidRPr="00331A56">
        <w:rPr>
          <w:rFonts w:ascii="Times New Roman" w:hAnsi="Times New Roman" w:cs="Times New Roman"/>
          <w:sz w:val="24"/>
          <w:szCs w:val="24"/>
        </w:rPr>
        <w:t xml:space="preserve">Протягом </w:t>
      </w:r>
      <w:r w:rsidR="00F761B1" w:rsidRPr="00331A56">
        <w:rPr>
          <w:rFonts w:ascii="Times New Roman" w:hAnsi="Times New Roman" w:cs="Times New Roman"/>
          <w:sz w:val="24"/>
          <w:szCs w:val="24"/>
        </w:rPr>
        <w:t>201</w:t>
      </w:r>
      <w:r w:rsidR="000F3E76">
        <w:rPr>
          <w:rFonts w:ascii="Times New Roman" w:hAnsi="Times New Roman" w:cs="Times New Roman"/>
          <w:sz w:val="24"/>
          <w:szCs w:val="24"/>
        </w:rPr>
        <w:t>7</w:t>
      </w:r>
      <w:r w:rsidR="00A6328E" w:rsidRPr="00331A56">
        <w:rPr>
          <w:rFonts w:ascii="Times New Roman" w:hAnsi="Times New Roman" w:cs="Times New Roman"/>
          <w:sz w:val="24"/>
          <w:szCs w:val="24"/>
        </w:rPr>
        <w:t xml:space="preserve"> року</w:t>
      </w:r>
      <w:r w:rsidRPr="00331A56">
        <w:rPr>
          <w:rFonts w:ascii="Times New Roman" w:hAnsi="Times New Roman" w:cs="Times New Roman"/>
          <w:sz w:val="24"/>
          <w:szCs w:val="24"/>
        </w:rPr>
        <w:t xml:space="preserve"> судом було видано </w:t>
      </w:r>
      <w:r w:rsidR="000F3E76">
        <w:rPr>
          <w:rFonts w:ascii="Times New Roman" w:hAnsi="Times New Roman" w:cs="Times New Roman"/>
          <w:sz w:val="24"/>
          <w:szCs w:val="24"/>
        </w:rPr>
        <w:t>1564</w:t>
      </w:r>
      <w:r w:rsidRPr="00331A56">
        <w:rPr>
          <w:rFonts w:ascii="Times New Roman" w:hAnsi="Times New Roman" w:cs="Times New Roman"/>
          <w:sz w:val="24"/>
          <w:szCs w:val="24"/>
        </w:rPr>
        <w:t xml:space="preserve"> виконавчих лист</w:t>
      </w:r>
      <w:r w:rsidR="005D1177" w:rsidRPr="00331A56">
        <w:rPr>
          <w:rFonts w:ascii="Times New Roman" w:hAnsi="Times New Roman" w:cs="Times New Roman"/>
          <w:sz w:val="24"/>
          <w:szCs w:val="24"/>
        </w:rPr>
        <w:t>ів</w:t>
      </w:r>
      <w:r w:rsidRPr="00331A56">
        <w:rPr>
          <w:rFonts w:ascii="Times New Roman" w:hAnsi="Times New Roman" w:cs="Times New Roman"/>
          <w:sz w:val="24"/>
          <w:szCs w:val="24"/>
        </w:rPr>
        <w:t xml:space="preserve"> на загал</w:t>
      </w:r>
      <w:r w:rsidR="0024616A" w:rsidRPr="00331A56">
        <w:rPr>
          <w:rFonts w:ascii="Times New Roman" w:hAnsi="Times New Roman" w:cs="Times New Roman"/>
          <w:sz w:val="24"/>
          <w:szCs w:val="24"/>
        </w:rPr>
        <w:t xml:space="preserve">ьну суму стягнення </w:t>
      </w:r>
      <w:r w:rsidR="000F3E76" w:rsidRPr="009B0915">
        <w:rPr>
          <w:rFonts w:ascii="Times New Roman" w:hAnsi="Times New Roman" w:cs="Times New Roman"/>
          <w:b/>
          <w:sz w:val="24"/>
          <w:szCs w:val="24"/>
        </w:rPr>
        <w:t>125 959 175</w:t>
      </w:r>
      <w:r w:rsidR="000F3E76">
        <w:rPr>
          <w:rFonts w:ascii="Times New Roman" w:hAnsi="Times New Roman" w:cs="Times New Roman"/>
          <w:sz w:val="24"/>
          <w:szCs w:val="24"/>
        </w:rPr>
        <w:t> г</w:t>
      </w:r>
      <w:r w:rsidR="00F65B24" w:rsidRPr="00331A56">
        <w:rPr>
          <w:rFonts w:ascii="Times New Roman" w:hAnsi="Times New Roman" w:cs="Times New Roman"/>
          <w:sz w:val="24"/>
          <w:szCs w:val="24"/>
        </w:rPr>
        <w:t>рн</w:t>
      </w:r>
      <w:r w:rsidRPr="00331A56">
        <w:rPr>
          <w:rFonts w:ascii="Times New Roman" w:hAnsi="Times New Roman" w:cs="Times New Roman"/>
          <w:sz w:val="24"/>
          <w:szCs w:val="24"/>
        </w:rPr>
        <w:t>.</w:t>
      </w:r>
      <w:r w:rsidR="00F221C6">
        <w:rPr>
          <w:rFonts w:ascii="Times New Roman" w:hAnsi="Times New Roman" w:cs="Times New Roman"/>
          <w:sz w:val="24"/>
          <w:szCs w:val="24"/>
        </w:rPr>
        <w:t xml:space="preserve"> </w:t>
      </w:r>
      <w:r w:rsidR="00E80930" w:rsidRPr="00331A56">
        <w:rPr>
          <w:rFonts w:ascii="Times New Roman" w:hAnsi="Times New Roman" w:cs="Times New Roman"/>
          <w:sz w:val="24"/>
          <w:szCs w:val="24"/>
        </w:rPr>
        <w:t>Сума стягнення з</w:t>
      </w:r>
      <w:r w:rsidR="0024616A" w:rsidRPr="00331A56">
        <w:rPr>
          <w:rFonts w:ascii="Times New Roman" w:hAnsi="Times New Roman" w:cs="Times New Roman"/>
          <w:sz w:val="24"/>
          <w:szCs w:val="24"/>
        </w:rPr>
        <w:t xml:space="preserve">а виконавчими документами у звітному </w:t>
      </w:r>
      <w:r w:rsidR="0024616A" w:rsidRPr="008F24B5">
        <w:rPr>
          <w:rFonts w:ascii="Times New Roman" w:hAnsi="Times New Roman" w:cs="Times New Roman"/>
          <w:sz w:val="24"/>
          <w:szCs w:val="24"/>
        </w:rPr>
        <w:t xml:space="preserve">періоді на </w:t>
      </w:r>
      <w:r w:rsidR="009B0915">
        <w:rPr>
          <w:rFonts w:ascii="Times New Roman" w:hAnsi="Times New Roman" w:cs="Times New Roman"/>
          <w:sz w:val="24"/>
          <w:szCs w:val="24"/>
        </w:rPr>
        <w:t>99,7</w:t>
      </w:r>
      <w:r w:rsidR="0024616A" w:rsidRPr="008F24B5">
        <w:rPr>
          <w:rFonts w:ascii="Times New Roman" w:hAnsi="Times New Roman" w:cs="Times New Roman"/>
          <w:sz w:val="24"/>
          <w:szCs w:val="24"/>
        </w:rPr>
        <w:t>%</w:t>
      </w:r>
      <w:r w:rsidR="00E80930" w:rsidRPr="008F24B5">
        <w:rPr>
          <w:rFonts w:ascii="Times New Roman" w:hAnsi="Times New Roman" w:cs="Times New Roman"/>
          <w:sz w:val="24"/>
          <w:szCs w:val="24"/>
        </w:rPr>
        <w:t xml:space="preserve"> </w:t>
      </w:r>
      <w:r w:rsidR="009B0915">
        <w:rPr>
          <w:rFonts w:ascii="Times New Roman" w:hAnsi="Times New Roman" w:cs="Times New Roman"/>
          <w:sz w:val="24"/>
          <w:szCs w:val="24"/>
        </w:rPr>
        <w:t>більша</w:t>
      </w:r>
      <w:r w:rsidR="00E80930" w:rsidRPr="008F24B5">
        <w:rPr>
          <w:rFonts w:ascii="Times New Roman" w:hAnsi="Times New Roman" w:cs="Times New Roman"/>
          <w:sz w:val="24"/>
          <w:szCs w:val="24"/>
        </w:rPr>
        <w:t xml:space="preserve"> дан</w:t>
      </w:r>
      <w:r w:rsidR="00F65B24">
        <w:rPr>
          <w:rFonts w:ascii="Times New Roman" w:hAnsi="Times New Roman" w:cs="Times New Roman"/>
          <w:sz w:val="24"/>
          <w:szCs w:val="24"/>
        </w:rPr>
        <w:t xml:space="preserve">ого </w:t>
      </w:r>
      <w:r w:rsidR="00E80930" w:rsidRPr="008F24B5">
        <w:rPr>
          <w:rFonts w:ascii="Times New Roman" w:hAnsi="Times New Roman" w:cs="Times New Roman"/>
          <w:sz w:val="24"/>
          <w:szCs w:val="24"/>
        </w:rPr>
        <w:t>показник</w:t>
      </w:r>
      <w:r w:rsidR="00F65B24">
        <w:rPr>
          <w:rFonts w:ascii="Times New Roman" w:hAnsi="Times New Roman" w:cs="Times New Roman"/>
          <w:sz w:val="24"/>
          <w:szCs w:val="24"/>
        </w:rPr>
        <w:t>а</w:t>
      </w:r>
      <w:r w:rsidR="00E80930" w:rsidRPr="008F24B5">
        <w:rPr>
          <w:rFonts w:ascii="Times New Roman" w:hAnsi="Times New Roman" w:cs="Times New Roman"/>
          <w:sz w:val="24"/>
          <w:szCs w:val="24"/>
        </w:rPr>
        <w:t xml:space="preserve"> у</w:t>
      </w:r>
      <w:r w:rsidR="00141E28" w:rsidRPr="008F24B5">
        <w:rPr>
          <w:rFonts w:ascii="Times New Roman" w:hAnsi="Times New Roman" w:cs="Times New Roman"/>
          <w:sz w:val="24"/>
          <w:szCs w:val="24"/>
        </w:rPr>
        <w:t xml:space="preserve"> </w:t>
      </w:r>
      <w:r w:rsidR="00F65B24">
        <w:rPr>
          <w:rFonts w:ascii="Times New Roman" w:hAnsi="Times New Roman" w:cs="Times New Roman"/>
          <w:sz w:val="24"/>
          <w:szCs w:val="24"/>
        </w:rPr>
        <w:t>201</w:t>
      </w:r>
      <w:r w:rsidR="009B0915">
        <w:rPr>
          <w:rFonts w:ascii="Times New Roman" w:hAnsi="Times New Roman" w:cs="Times New Roman"/>
          <w:sz w:val="24"/>
          <w:szCs w:val="24"/>
        </w:rPr>
        <w:t>6</w:t>
      </w:r>
      <w:r w:rsidR="00F65B24">
        <w:rPr>
          <w:rFonts w:ascii="Times New Roman" w:hAnsi="Times New Roman" w:cs="Times New Roman"/>
          <w:sz w:val="24"/>
          <w:szCs w:val="24"/>
        </w:rPr>
        <w:t xml:space="preserve"> році </w:t>
      </w:r>
      <w:r w:rsidR="000F3E76" w:rsidRPr="000F3E76">
        <w:rPr>
          <w:rFonts w:ascii="Times New Roman" w:hAnsi="Times New Roman" w:cs="Times New Roman"/>
          <w:b/>
          <w:sz w:val="24"/>
          <w:szCs w:val="24"/>
        </w:rPr>
        <w:t>63 067 656,00</w:t>
      </w:r>
      <w:r w:rsidR="000F3E76">
        <w:rPr>
          <w:rFonts w:ascii="Times New Roman" w:hAnsi="Times New Roman" w:cs="Times New Roman"/>
          <w:sz w:val="24"/>
          <w:szCs w:val="24"/>
        </w:rPr>
        <w:t>.</w:t>
      </w:r>
    </w:p>
    <w:p w:rsidR="00AF2AB5" w:rsidRPr="00331A56" w:rsidRDefault="006F43AF" w:rsidP="009F2A3B">
      <w:pPr>
        <w:pStyle w:val="a3"/>
        <w:spacing w:after="0" w:line="240" w:lineRule="auto"/>
        <w:ind w:left="0" w:firstLine="720"/>
        <w:jc w:val="both"/>
        <w:rPr>
          <w:rFonts w:ascii="Times New Roman" w:hAnsi="Times New Roman" w:cs="Times New Roman"/>
          <w:sz w:val="24"/>
          <w:szCs w:val="24"/>
        </w:rPr>
      </w:pPr>
      <w:r w:rsidRPr="00950A25">
        <w:rPr>
          <w:rFonts w:ascii="Times New Roman" w:hAnsi="Times New Roman" w:cs="Times New Roman"/>
          <w:noProof/>
          <w:sz w:val="24"/>
          <w:szCs w:val="24"/>
          <w:lang w:val="ru-RU"/>
        </w:rPr>
        <w:drawing>
          <wp:inline distT="0" distB="0" distL="0" distR="0" wp14:anchorId="2F0E72B4" wp14:editId="58533EA7">
            <wp:extent cx="5939790" cy="2320578"/>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616A" w:rsidRPr="00331A56" w:rsidRDefault="0024616A" w:rsidP="00BC27C8">
      <w:pPr>
        <w:spacing w:after="0" w:line="240" w:lineRule="auto"/>
        <w:jc w:val="center"/>
        <w:rPr>
          <w:rFonts w:ascii="Times New Roman" w:hAnsi="Times New Roman" w:cs="Times New Roman"/>
          <w:sz w:val="24"/>
          <w:szCs w:val="24"/>
          <w:lang w:val="uk-UA"/>
        </w:rPr>
      </w:pPr>
    </w:p>
    <w:p w:rsidR="005D1177" w:rsidRPr="00331A56" w:rsidRDefault="005D1177" w:rsidP="005D1177">
      <w:pPr>
        <w:spacing w:after="0" w:line="240" w:lineRule="auto"/>
        <w:jc w:val="center"/>
        <w:rPr>
          <w:rFonts w:ascii="Times New Roman" w:hAnsi="Times New Roman"/>
          <w:b/>
          <w:sz w:val="24"/>
          <w:szCs w:val="24"/>
          <w:lang w:val="uk-UA"/>
        </w:rPr>
      </w:pPr>
      <w:r w:rsidRPr="00B838B9">
        <w:rPr>
          <w:rFonts w:ascii="Times New Roman" w:hAnsi="Times New Roman"/>
          <w:b/>
          <w:sz w:val="24"/>
          <w:szCs w:val="24"/>
          <w:lang w:val="uk-UA"/>
        </w:rPr>
        <w:t>Результати перегляду судових рішень в апеляційному порядку</w:t>
      </w:r>
    </w:p>
    <w:p w:rsidR="0049721B" w:rsidRPr="00331A56" w:rsidRDefault="00C9063F" w:rsidP="0049721B">
      <w:pPr>
        <w:spacing w:after="0" w:line="240" w:lineRule="auto"/>
        <w:ind w:firstLine="709"/>
        <w:jc w:val="both"/>
        <w:rPr>
          <w:rFonts w:ascii="Times New Roman" w:hAnsi="Times New Roman"/>
          <w:sz w:val="24"/>
          <w:szCs w:val="24"/>
          <w:lang w:val="uk-UA"/>
        </w:rPr>
      </w:pPr>
      <w:r w:rsidRPr="00331A56">
        <w:rPr>
          <w:rFonts w:ascii="Times New Roman" w:hAnsi="Times New Roman"/>
          <w:sz w:val="24"/>
          <w:szCs w:val="24"/>
          <w:lang w:val="uk-UA"/>
        </w:rPr>
        <w:t>За апеляційними скаргами у звітному періоді</w:t>
      </w:r>
      <w:r w:rsidR="0049017F" w:rsidRPr="00331A56">
        <w:rPr>
          <w:rFonts w:ascii="Times New Roman" w:hAnsi="Times New Roman"/>
          <w:sz w:val="24"/>
          <w:szCs w:val="24"/>
          <w:lang w:val="uk-UA"/>
        </w:rPr>
        <w:t xml:space="preserve"> </w:t>
      </w:r>
      <w:r w:rsidRPr="00331A56">
        <w:rPr>
          <w:rFonts w:ascii="Times New Roman" w:hAnsi="Times New Roman"/>
          <w:sz w:val="24"/>
          <w:szCs w:val="24"/>
          <w:lang w:val="uk-UA"/>
        </w:rPr>
        <w:t>д</w:t>
      </w:r>
      <w:r w:rsidR="0049721B" w:rsidRPr="00331A56">
        <w:rPr>
          <w:rFonts w:ascii="Times New Roman" w:hAnsi="Times New Roman"/>
          <w:sz w:val="24"/>
          <w:szCs w:val="24"/>
          <w:lang w:val="uk-UA"/>
        </w:rPr>
        <w:t xml:space="preserve">о Дніпропетровського апеляційного адміністративного суду направлено </w:t>
      </w:r>
      <w:r w:rsidR="000C1EBC">
        <w:rPr>
          <w:rFonts w:ascii="Times New Roman" w:hAnsi="Times New Roman"/>
          <w:sz w:val="24"/>
          <w:szCs w:val="24"/>
          <w:lang w:val="uk-UA"/>
        </w:rPr>
        <w:t>1531</w:t>
      </w:r>
      <w:r w:rsidR="0049721B" w:rsidRPr="00331A56">
        <w:rPr>
          <w:rFonts w:ascii="Times New Roman" w:hAnsi="Times New Roman"/>
          <w:sz w:val="24"/>
          <w:szCs w:val="24"/>
          <w:lang w:val="uk-UA"/>
        </w:rPr>
        <w:t xml:space="preserve"> адміністративн</w:t>
      </w:r>
      <w:r w:rsidR="000C1EBC">
        <w:rPr>
          <w:rFonts w:ascii="Times New Roman" w:hAnsi="Times New Roman"/>
          <w:sz w:val="24"/>
          <w:szCs w:val="24"/>
          <w:lang w:val="uk-UA"/>
        </w:rPr>
        <w:t>а</w:t>
      </w:r>
      <w:r w:rsidR="0066062F">
        <w:rPr>
          <w:rFonts w:ascii="Times New Roman" w:hAnsi="Times New Roman"/>
          <w:sz w:val="24"/>
          <w:szCs w:val="24"/>
          <w:lang w:val="uk-UA"/>
        </w:rPr>
        <w:t xml:space="preserve"> </w:t>
      </w:r>
      <w:r w:rsidR="0049721B" w:rsidRPr="00331A56">
        <w:rPr>
          <w:rFonts w:ascii="Times New Roman" w:hAnsi="Times New Roman"/>
          <w:sz w:val="24"/>
          <w:szCs w:val="24"/>
          <w:lang w:val="uk-UA"/>
        </w:rPr>
        <w:t>справ</w:t>
      </w:r>
      <w:r w:rsidR="000C1EBC">
        <w:rPr>
          <w:rFonts w:ascii="Times New Roman" w:hAnsi="Times New Roman"/>
          <w:sz w:val="24"/>
          <w:szCs w:val="24"/>
          <w:lang w:val="uk-UA"/>
        </w:rPr>
        <w:t>а</w:t>
      </w:r>
      <w:r w:rsidR="0049721B" w:rsidRPr="00331A56">
        <w:rPr>
          <w:rFonts w:ascii="Times New Roman" w:hAnsi="Times New Roman"/>
          <w:sz w:val="24"/>
          <w:szCs w:val="24"/>
          <w:lang w:val="uk-UA"/>
        </w:rPr>
        <w:t>.</w:t>
      </w:r>
    </w:p>
    <w:p w:rsidR="0049721B" w:rsidRPr="00331A56" w:rsidRDefault="00894424" w:rsidP="0049721B">
      <w:pPr>
        <w:pStyle w:val="a3"/>
        <w:spacing w:after="0" w:line="240" w:lineRule="auto"/>
        <w:ind w:left="0" w:firstLine="720"/>
        <w:jc w:val="both"/>
        <w:rPr>
          <w:rFonts w:ascii="Times New Roman" w:hAnsi="Times New Roman"/>
          <w:sz w:val="24"/>
          <w:szCs w:val="24"/>
        </w:rPr>
      </w:pPr>
      <w:r w:rsidRPr="00331A56">
        <w:rPr>
          <w:rFonts w:ascii="Times New Roman" w:hAnsi="Times New Roman"/>
          <w:sz w:val="24"/>
          <w:szCs w:val="24"/>
        </w:rPr>
        <w:t>Протягом 201</w:t>
      </w:r>
      <w:r w:rsidR="000C1EBC">
        <w:rPr>
          <w:rFonts w:ascii="Times New Roman" w:hAnsi="Times New Roman"/>
          <w:sz w:val="24"/>
          <w:szCs w:val="24"/>
        </w:rPr>
        <w:t>7</w:t>
      </w:r>
      <w:r w:rsidRPr="00331A56">
        <w:rPr>
          <w:rFonts w:ascii="Times New Roman" w:hAnsi="Times New Roman"/>
          <w:sz w:val="24"/>
          <w:szCs w:val="24"/>
        </w:rPr>
        <w:t xml:space="preserve"> року Дніпропетровським апеляційним адміністративним судом було </w:t>
      </w:r>
      <w:r w:rsidR="00C83E88" w:rsidRPr="00331A56">
        <w:rPr>
          <w:rFonts w:ascii="Times New Roman" w:hAnsi="Times New Roman"/>
          <w:sz w:val="24"/>
          <w:szCs w:val="24"/>
        </w:rPr>
        <w:t xml:space="preserve">повернуто до суду першої інстанції </w:t>
      </w:r>
      <w:r w:rsidR="000C1EBC">
        <w:rPr>
          <w:rFonts w:ascii="Times New Roman" w:hAnsi="Times New Roman"/>
          <w:sz w:val="24"/>
          <w:szCs w:val="24"/>
        </w:rPr>
        <w:t>1544</w:t>
      </w:r>
      <w:r w:rsidR="00C83E88">
        <w:rPr>
          <w:rFonts w:ascii="Times New Roman" w:hAnsi="Times New Roman"/>
          <w:sz w:val="24"/>
          <w:szCs w:val="24"/>
        </w:rPr>
        <w:t xml:space="preserve"> </w:t>
      </w:r>
      <w:r w:rsidR="00C83E88" w:rsidRPr="00331A56">
        <w:rPr>
          <w:rFonts w:ascii="Times New Roman" w:hAnsi="Times New Roman"/>
          <w:sz w:val="24"/>
          <w:szCs w:val="24"/>
        </w:rPr>
        <w:t>адміністративн</w:t>
      </w:r>
      <w:r w:rsidR="009A7DF3">
        <w:rPr>
          <w:rFonts w:ascii="Times New Roman" w:hAnsi="Times New Roman"/>
          <w:sz w:val="24"/>
          <w:szCs w:val="24"/>
        </w:rPr>
        <w:t>і</w:t>
      </w:r>
      <w:r w:rsidR="00C83E88" w:rsidRPr="00331A56">
        <w:rPr>
          <w:rFonts w:ascii="Times New Roman" w:hAnsi="Times New Roman"/>
          <w:sz w:val="24"/>
          <w:szCs w:val="24"/>
        </w:rPr>
        <w:t xml:space="preserve"> справ</w:t>
      </w:r>
      <w:r w:rsidR="009A7DF3">
        <w:rPr>
          <w:rFonts w:ascii="Times New Roman" w:hAnsi="Times New Roman"/>
          <w:sz w:val="24"/>
          <w:szCs w:val="24"/>
        </w:rPr>
        <w:t>и</w:t>
      </w:r>
      <w:r w:rsidR="00C83E88">
        <w:rPr>
          <w:rFonts w:ascii="Times New Roman" w:hAnsi="Times New Roman"/>
          <w:sz w:val="24"/>
          <w:szCs w:val="24"/>
        </w:rPr>
        <w:t xml:space="preserve"> після </w:t>
      </w:r>
      <w:r w:rsidRPr="00331A56">
        <w:rPr>
          <w:rFonts w:ascii="Times New Roman" w:hAnsi="Times New Roman"/>
          <w:sz w:val="24"/>
          <w:szCs w:val="24"/>
        </w:rPr>
        <w:t>перегля</w:t>
      </w:r>
      <w:r w:rsidR="00C83E88">
        <w:rPr>
          <w:rFonts w:ascii="Times New Roman" w:hAnsi="Times New Roman"/>
          <w:sz w:val="24"/>
          <w:szCs w:val="24"/>
        </w:rPr>
        <w:t>ду</w:t>
      </w:r>
      <w:r w:rsidRPr="00331A56">
        <w:rPr>
          <w:rFonts w:ascii="Times New Roman" w:hAnsi="Times New Roman"/>
          <w:sz w:val="24"/>
          <w:szCs w:val="24"/>
        </w:rPr>
        <w:t xml:space="preserve"> в апеляційному порядку, з яких</w:t>
      </w:r>
      <w:r w:rsidR="00BB0D65" w:rsidRPr="00331A56">
        <w:rPr>
          <w:rFonts w:ascii="Times New Roman" w:hAnsi="Times New Roman"/>
          <w:sz w:val="24"/>
          <w:szCs w:val="24"/>
        </w:rPr>
        <w:t>:</w:t>
      </w:r>
    </w:p>
    <w:p w:rsidR="0049721B" w:rsidRPr="000E5CA1" w:rsidRDefault="0049721B" w:rsidP="0049721B">
      <w:pPr>
        <w:spacing w:after="0" w:line="240" w:lineRule="auto"/>
        <w:ind w:firstLine="720"/>
        <w:jc w:val="both"/>
        <w:rPr>
          <w:rFonts w:ascii="Times New Roman" w:hAnsi="Times New Roman"/>
          <w:sz w:val="24"/>
          <w:szCs w:val="24"/>
          <w:lang w:val="uk-UA"/>
        </w:rPr>
      </w:pPr>
      <w:r w:rsidRPr="000E5CA1">
        <w:rPr>
          <w:rFonts w:ascii="Times New Roman" w:hAnsi="Times New Roman"/>
          <w:sz w:val="24"/>
          <w:szCs w:val="24"/>
          <w:lang w:val="uk-UA"/>
        </w:rPr>
        <w:t xml:space="preserve">1) </w:t>
      </w:r>
      <w:r w:rsidR="000C1EBC">
        <w:rPr>
          <w:rFonts w:ascii="Times New Roman" w:hAnsi="Times New Roman"/>
          <w:sz w:val="24"/>
          <w:szCs w:val="24"/>
          <w:lang w:val="uk-UA"/>
        </w:rPr>
        <w:t>1269</w:t>
      </w:r>
      <w:r w:rsidR="00BF5F5A" w:rsidRPr="000E5CA1">
        <w:rPr>
          <w:rFonts w:ascii="Times New Roman" w:hAnsi="Times New Roman"/>
          <w:sz w:val="24"/>
          <w:szCs w:val="24"/>
          <w:lang w:val="uk-UA"/>
        </w:rPr>
        <w:t xml:space="preserve"> судових рішен</w:t>
      </w:r>
      <w:r w:rsidR="00D04FD6" w:rsidRPr="000E5CA1">
        <w:rPr>
          <w:rFonts w:ascii="Times New Roman" w:hAnsi="Times New Roman"/>
          <w:sz w:val="24"/>
          <w:szCs w:val="24"/>
          <w:lang w:val="uk-UA"/>
        </w:rPr>
        <w:t>ь</w:t>
      </w:r>
      <w:r w:rsidRPr="000E5CA1">
        <w:rPr>
          <w:rFonts w:ascii="Times New Roman" w:hAnsi="Times New Roman"/>
          <w:sz w:val="24"/>
          <w:szCs w:val="24"/>
          <w:lang w:val="uk-UA"/>
        </w:rPr>
        <w:t xml:space="preserve"> залишено без змін, що складає </w:t>
      </w:r>
      <w:r w:rsidR="003C34EE" w:rsidRPr="000E5CA1">
        <w:rPr>
          <w:rFonts w:ascii="Times New Roman" w:hAnsi="Times New Roman"/>
          <w:sz w:val="24"/>
          <w:szCs w:val="24"/>
          <w:lang w:val="uk-UA"/>
        </w:rPr>
        <w:t>8</w:t>
      </w:r>
      <w:r w:rsidR="000C1EBC">
        <w:rPr>
          <w:rFonts w:ascii="Times New Roman" w:hAnsi="Times New Roman"/>
          <w:sz w:val="24"/>
          <w:szCs w:val="24"/>
          <w:lang w:val="uk-UA"/>
        </w:rPr>
        <w:t>2</w:t>
      </w:r>
      <w:r w:rsidR="003C34EE" w:rsidRPr="000E5CA1">
        <w:rPr>
          <w:rFonts w:ascii="Times New Roman" w:hAnsi="Times New Roman"/>
          <w:sz w:val="24"/>
          <w:szCs w:val="24"/>
          <w:lang w:val="uk-UA"/>
        </w:rPr>
        <w:t>,</w:t>
      </w:r>
      <w:r w:rsidR="009A7DF3">
        <w:rPr>
          <w:rFonts w:ascii="Times New Roman" w:hAnsi="Times New Roman"/>
          <w:sz w:val="24"/>
          <w:szCs w:val="24"/>
          <w:lang w:val="uk-UA"/>
        </w:rPr>
        <w:t>2</w:t>
      </w:r>
      <w:r w:rsidR="00BB0D65" w:rsidRPr="000E5CA1">
        <w:rPr>
          <w:rFonts w:ascii="Times New Roman" w:hAnsi="Times New Roman"/>
          <w:sz w:val="24"/>
          <w:szCs w:val="24"/>
          <w:lang w:val="uk-UA"/>
        </w:rPr>
        <w:t>%</w:t>
      </w:r>
      <w:r w:rsidRPr="000E5CA1">
        <w:rPr>
          <w:rFonts w:ascii="Times New Roman" w:hAnsi="Times New Roman"/>
          <w:sz w:val="24"/>
          <w:szCs w:val="24"/>
          <w:lang w:val="uk-UA"/>
        </w:rPr>
        <w:t xml:space="preserve"> від справ, які надійшли до суду після перегляду Дніпропетровським апеляційним адміністративним судом, з яких:</w:t>
      </w:r>
    </w:p>
    <w:p w:rsidR="0049721B" w:rsidRPr="000E5CA1" w:rsidRDefault="0049721B" w:rsidP="0049721B">
      <w:pPr>
        <w:pStyle w:val="a3"/>
        <w:tabs>
          <w:tab w:val="left" w:pos="284"/>
        </w:tabs>
        <w:spacing w:after="0" w:line="240" w:lineRule="auto"/>
        <w:ind w:left="0"/>
        <w:jc w:val="both"/>
        <w:rPr>
          <w:rFonts w:ascii="Times New Roman" w:hAnsi="Times New Roman"/>
          <w:sz w:val="24"/>
          <w:szCs w:val="24"/>
        </w:rPr>
      </w:pPr>
      <w:r w:rsidRPr="000E5CA1">
        <w:rPr>
          <w:rFonts w:ascii="Times New Roman" w:hAnsi="Times New Roman"/>
          <w:sz w:val="24"/>
          <w:szCs w:val="24"/>
        </w:rPr>
        <w:t>-</w:t>
      </w:r>
      <w:r w:rsidRPr="000E5CA1">
        <w:rPr>
          <w:rFonts w:ascii="Times New Roman" w:hAnsi="Times New Roman"/>
          <w:sz w:val="24"/>
          <w:szCs w:val="24"/>
        </w:rPr>
        <w:tab/>
        <w:t xml:space="preserve">залишено без задоволення </w:t>
      </w:r>
      <w:r w:rsidR="000C1EBC">
        <w:rPr>
          <w:rFonts w:ascii="Times New Roman" w:hAnsi="Times New Roman"/>
          <w:sz w:val="24"/>
          <w:szCs w:val="24"/>
        </w:rPr>
        <w:t>817</w:t>
      </w:r>
      <w:r w:rsidRPr="000E5CA1">
        <w:rPr>
          <w:rFonts w:ascii="Times New Roman" w:hAnsi="Times New Roman"/>
          <w:sz w:val="24"/>
          <w:szCs w:val="24"/>
        </w:rPr>
        <w:t xml:space="preserve"> апеляційн</w:t>
      </w:r>
      <w:r w:rsidR="000C1EBC">
        <w:rPr>
          <w:rFonts w:ascii="Times New Roman" w:hAnsi="Times New Roman"/>
          <w:sz w:val="24"/>
          <w:szCs w:val="24"/>
        </w:rPr>
        <w:t>их</w:t>
      </w:r>
      <w:r w:rsidRPr="000E5CA1">
        <w:rPr>
          <w:rFonts w:ascii="Times New Roman" w:hAnsi="Times New Roman"/>
          <w:sz w:val="24"/>
          <w:szCs w:val="24"/>
        </w:rPr>
        <w:t xml:space="preserve"> скарг;</w:t>
      </w:r>
    </w:p>
    <w:p w:rsidR="0049721B" w:rsidRPr="0007692A" w:rsidRDefault="0049721B" w:rsidP="0049721B">
      <w:pPr>
        <w:pStyle w:val="a3"/>
        <w:tabs>
          <w:tab w:val="left" w:pos="284"/>
        </w:tabs>
        <w:spacing w:after="0" w:line="240" w:lineRule="auto"/>
        <w:ind w:left="0"/>
        <w:jc w:val="both"/>
        <w:rPr>
          <w:rFonts w:ascii="Times New Roman" w:hAnsi="Times New Roman"/>
          <w:sz w:val="24"/>
          <w:szCs w:val="24"/>
        </w:rPr>
      </w:pPr>
      <w:r w:rsidRPr="0007692A">
        <w:rPr>
          <w:rFonts w:ascii="Times New Roman" w:hAnsi="Times New Roman"/>
          <w:sz w:val="24"/>
          <w:szCs w:val="24"/>
        </w:rPr>
        <w:t>-</w:t>
      </w:r>
      <w:r w:rsidRPr="0007692A">
        <w:rPr>
          <w:rFonts w:ascii="Times New Roman" w:hAnsi="Times New Roman"/>
          <w:sz w:val="24"/>
          <w:szCs w:val="24"/>
        </w:rPr>
        <w:tab/>
        <w:t xml:space="preserve">повернуто заявнику </w:t>
      </w:r>
      <w:r w:rsidR="000C1EBC">
        <w:rPr>
          <w:rFonts w:ascii="Times New Roman" w:hAnsi="Times New Roman"/>
          <w:sz w:val="24"/>
          <w:szCs w:val="24"/>
        </w:rPr>
        <w:t>293</w:t>
      </w:r>
      <w:r w:rsidRPr="0007692A">
        <w:rPr>
          <w:rFonts w:ascii="Times New Roman" w:hAnsi="Times New Roman"/>
          <w:sz w:val="24"/>
          <w:szCs w:val="24"/>
        </w:rPr>
        <w:t xml:space="preserve"> апеляційн</w:t>
      </w:r>
      <w:r w:rsidR="000C1EBC">
        <w:rPr>
          <w:rFonts w:ascii="Times New Roman" w:hAnsi="Times New Roman"/>
          <w:sz w:val="24"/>
          <w:szCs w:val="24"/>
        </w:rPr>
        <w:t>і</w:t>
      </w:r>
      <w:r w:rsidR="00BB0D65" w:rsidRPr="0007692A">
        <w:rPr>
          <w:rFonts w:ascii="Times New Roman" w:hAnsi="Times New Roman"/>
          <w:sz w:val="24"/>
          <w:szCs w:val="24"/>
        </w:rPr>
        <w:t xml:space="preserve"> скарг</w:t>
      </w:r>
      <w:r w:rsidR="000C1EBC">
        <w:rPr>
          <w:rFonts w:ascii="Times New Roman" w:hAnsi="Times New Roman"/>
          <w:sz w:val="24"/>
          <w:szCs w:val="24"/>
        </w:rPr>
        <w:t>и</w:t>
      </w:r>
      <w:r w:rsidRPr="0007692A">
        <w:rPr>
          <w:rFonts w:ascii="Times New Roman" w:hAnsi="Times New Roman"/>
          <w:sz w:val="24"/>
          <w:szCs w:val="24"/>
        </w:rPr>
        <w:t>;</w:t>
      </w:r>
    </w:p>
    <w:p w:rsidR="0049721B" w:rsidRPr="0007692A" w:rsidRDefault="0049721B" w:rsidP="0049721B">
      <w:pPr>
        <w:pStyle w:val="a3"/>
        <w:tabs>
          <w:tab w:val="left" w:pos="284"/>
        </w:tabs>
        <w:spacing w:after="0" w:line="240" w:lineRule="auto"/>
        <w:ind w:left="0"/>
        <w:jc w:val="both"/>
        <w:rPr>
          <w:rFonts w:ascii="Times New Roman" w:hAnsi="Times New Roman"/>
          <w:sz w:val="24"/>
          <w:szCs w:val="24"/>
        </w:rPr>
      </w:pPr>
      <w:r w:rsidRPr="0007692A">
        <w:rPr>
          <w:rFonts w:ascii="Times New Roman" w:hAnsi="Times New Roman"/>
          <w:sz w:val="24"/>
          <w:szCs w:val="24"/>
        </w:rPr>
        <w:t>-</w:t>
      </w:r>
      <w:r w:rsidRPr="0007692A">
        <w:rPr>
          <w:rFonts w:ascii="Times New Roman" w:hAnsi="Times New Roman"/>
          <w:sz w:val="24"/>
          <w:szCs w:val="24"/>
        </w:rPr>
        <w:tab/>
        <w:t xml:space="preserve">відмовлено у відкритті провадження </w:t>
      </w:r>
      <w:r w:rsidR="00942840" w:rsidRPr="0007692A">
        <w:rPr>
          <w:rFonts w:ascii="Times New Roman" w:hAnsi="Times New Roman"/>
          <w:sz w:val="24"/>
          <w:szCs w:val="24"/>
        </w:rPr>
        <w:t>по</w:t>
      </w:r>
      <w:r w:rsidRPr="0007692A">
        <w:rPr>
          <w:rFonts w:ascii="Times New Roman" w:hAnsi="Times New Roman"/>
          <w:sz w:val="24"/>
          <w:szCs w:val="24"/>
        </w:rPr>
        <w:t xml:space="preserve"> </w:t>
      </w:r>
      <w:r w:rsidR="000C1EBC">
        <w:rPr>
          <w:rFonts w:ascii="Times New Roman" w:hAnsi="Times New Roman"/>
          <w:sz w:val="24"/>
          <w:szCs w:val="24"/>
        </w:rPr>
        <w:t>156</w:t>
      </w:r>
      <w:r w:rsidR="003C34EE" w:rsidRPr="0007692A">
        <w:rPr>
          <w:rFonts w:ascii="Times New Roman" w:hAnsi="Times New Roman"/>
          <w:sz w:val="24"/>
          <w:szCs w:val="24"/>
        </w:rPr>
        <w:t xml:space="preserve"> </w:t>
      </w:r>
      <w:r w:rsidRPr="0007692A">
        <w:rPr>
          <w:rFonts w:ascii="Times New Roman" w:hAnsi="Times New Roman"/>
          <w:sz w:val="24"/>
          <w:szCs w:val="24"/>
        </w:rPr>
        <w:t>апеляцій</w:t>
      </w:r>
      <w:r w:rsidR="009C2641">
        <w:rPr>
          <w:rFonts w:ascii="Times New Roman" w:hAnsi="Times New Roman"/>
          <w:sz w:val="24"/>
          <w:szCs w:val="24"/>
        </w:rPr>
        <w:t>ни</w:t>
      </w:r>
      <w:r w:rsidR="00304287">
        <w:rPr>
          <w:rFonts w:ascii="Times New Roman" w:hAnsi="Times New Roman"/>
          <w:sz w:val="24"/>
          <w:szCs w:val="24"/>
        </w:rPr>
        <w:t>м</w:t>
      </w:r>
      <w:r w:rsidRPr="0007692A">
        <w:rPr>
          <w:rFonts w:ascii="Times New Roman" w:hAnsi="Times New Roman"/>
          <w:sz w:val="24"/>
          <w:szCs w:val="24"/>
        </w:rPr>
        <w:t xml:space="preserve"> скарга</w:t>
      </w:r>
      <w:r w:rsidR="00304287">
        <w:rPr>
          <w:rFonts w:ascii="Times New Roman" w:hAnsi="Times New Roman"/>
          <w:sz w:val="24"/>
          <w:szCs w:val="24"/>
        </w:rPr>
        <w:t>м</w:t>
      </w:r>
      <w:r w:rsidRPr="0007692A">
        <w:rPr>
          <w:rFonts w:ascii="Times New Roman" w:hAnsi="Times New Roman"/>
          <w:sz w:val="24"/>
          <w:szCs w:val="24"/>
        </w:rPr>
        <w:t>;</w:t>
      </w:r>
    </w:p>
    <w:p w:rsidR="0049721B" w:rsidRPr="0007692A" w:rsidRDefault="0049721B" w:rsidP="0049721B">
      <w:pPr>
        <w:pStyle w:val="a3"/>
        <w:tabs>
          <w:tab w:val="left" w:pos="284"/>
        </w:tabs>
        <w:spacing w:after="0" w:line="240" w:lineRule="auto"/>
        <w:ind w:left="0"/>
        <w:jc w:val="both"/>
        <w:rPr>
          <w:rFonts w:ascii="Times New Roman" w:hAnsi="Times New Roman"/>
          <w:sz w:val="24"/>
          <w:szCs w:val="24"/>
        </w:rPr>
      </w:pPr>
      <w:r w:rsidRPr="0007692A">
        <w:rPr>
          <w:rFonts w:ascii="Times New Roman" w:hAnsi="Times New Roman"/>
          <w:sz w:val="24"/>
          <w:szCs w:val="24"/>
        </w:rPr>
        <w:t>-</w:t>
      </w:r>
      <w:r w:rsidRPr="0007692A">
        <w:rPr>
          <w:rFonts w:ascii="Times New Roman" w:hAnsi="Times New Roman"/>
          <w:sz w:val="24"/>
          <w:szCs w:val="24"/>
        </w:rPr>
        <w:tab/>
        <w:t xml:space="preserve">закрито провадження за </w:t>
      </w:r>
      <w:r w:rsidR="00304287">
        <w:rPr>
          <w:rFonts w:ascii="Times New Roman" w:hAnsi="Times New Roman"/>
          <w:sz w:val="24"/>
          <w:szCs w:val="24"/>
        </w:rPr>
        <w:t>3</w:t>
      </w:r>
      <w:r w:rsidRPr="0007692A">
        <w:rPr>
          <w:rFonts w:ascii="Times New Roman" w:hAnsi="Times New Roman"/>
          <w:sz w:val="24"/>
          <w:szCs w:val="24"/>
        </w:rPr>
        <w:t xml:space="preserve"> апеляційними скаргами.</w:t>
      </w:r>
    </w:p>
    <w:p w:rsidR="00BB0D65" w:rsidRPr="0007692A" w:rsidRDefault="0049721B" w:rsidP="0049721B">
      <w:pPr>
        <w:pStyle w:val="a3"/>
        <w:tabs>
          <w:tab w:val="left" w:pos="284"/>
        </w:tabs>
        <w:spacing w:after="0" w:line="240" w:lineRule="auto"/>
        <w:ind w:left="0"/>
        <w:jc w:val="both"/>
        <w:rPr>
          <w:rFonts w:ascii="Times New Roman" w:hAnsi="Times New Roman"/>
          <w:sz w:val="24"/>
          <w:szCs w:val="24"/>
        </w:rPr>
      </w:pPr>
      <w:r w:rsidRPr="0007692A">
        <w:rPr>
          <w:rFonts w:ascii="Times New Roman" w:hAnsi="Times New Roman"/>
          <w:sz w:val="24"/>
          <w:szCs w:val="24"/>
        </w:rPr>
        <w:tab/>
      </w:r>
      <w:r w:rsidRPr="0007692A">
        <w:rPr>
          <w:rFonts w:ascii="Times New Roman" w:hAnsi="Times New Roman"/>
          <w:sz w:val="24"/>
          <w:szCs w:val="24"/>
        </w:rPr>
        <w:tab/>
        <w:t>2) змінено судов</w:t>
      </w:r>
      <w:r w:rsidR="00C9063F" w:rsidRPr="0007692A">
        <w:rPr>
          <w:rFonts w:ascii="Times New Roman" w:hAnsi="Times New Roman"/>
          <w:sz w:val="24"/>
          <w:szCs w:val="24"/>
        </w:rPr>
        <w:t>е</w:t>
      </w:r>
      <w:r w:rsidRPr="0007692A">
        <w:rPr>
          <w:rFonts w:ascii="Times New Roman" w:hAnsi="Times New Roman"/>
          <w:sz w:val="24"/>
          <w:szCs w:val="24"/>
        </w:rPr>
        <w:t xml:space="preserve"> рішення по</w:t>
      </w:r>
      <w:r w:rsidR="00F9450D" w:rsidRPr="0007692A">
        <w:rPr>
          <w:rFonts w:ascii="Times New Roman" w:hAnsi="Times New Roman"/>
          <w:sz w:val="24"/>
          <w:szCs w:val="24"/>
        </w:rPr>
        <w:t xml:space="preserve"> </w:t>
      </w:r>
      <w:r w:rsidR="00304287">
        <w:rPr>
          <w:rFonts w:ascii="Times New Roman" w:hAnsi="Times New Roman"/>
          <w:sz w:val="24"/>
          <w:szCs w:val="24"/>
        </w:rPr>
        <w:t>12</w:t>
      </w:r>
      <w:r w:rsidRPr="0007692A">
        <w:rPr>
          <w:rFonts w:ascii="Times New Roman" w:hAnsi="Times New Roman"/>
          <w:sz w:val="24"/>
          <w:szCs w:val="24"/>
        </w:rPr>
        <w:t xml:space="preserve"> справ</w:t>
      </w:r>
      <w:r w:rsidR="00BF5F5A" w:rsidRPr="0007692A">
        <w:rPr>
          <w:rFonts w:ascii="Times New Roman" w:hAnsi="Times New Roman"/>
          <w:sz w:val="24"/>
          <w:szCs w:val="24"/>
        </w:rPr>
        <w:t>а</w:t>
      </w:r>
      <w:r w:rsidR="009C2641">
        <w:rPr>
          <w:rFonts w:ascii="Times New Roman" w:hAnsi="Times New Roman"/>
          <w:sz w:val="24"/>
          <w:szCs w:val="24"/>
        </w:rPr>
        <w:t>х</w:t>
      </w:r>
      <w:r w:rsidRPr="0007692A">
        <w:rPr>
          <w:rFonts w:ascii="Times New Roman" w:hAnsi="Times New Roman"/>
          <w:sz w:val="24"/>
          <w:szCs w:val="24"/>
        </w:rPr>
        <w:t xml:space="preserve">; </w:t>
      </w:r>
    </w:p>
    <w:p w:rsidR="00F9450D" w:rsidRPr="0007692A" w:rsidRDefault="00F9450D" w:rsidP="00F9450D">
      <w:pPr>
        <w:pStyle w:val="a3"/>
        <w:tabs>
          <w:tab w:val="left" w:pos="284"/>
        </w:tabs>
        <w:spacing w:after="0" w:line="240" w:lineRule="auto"/>
        <w:ind w:left="0" w:firstLine="708"/>
        <w:jc w:val="both"/>
        <w:rPr>
          <w:rFonts w:ascii="Times New Roman" w:hAnsi="Times New Roman"/>
          <w:sz w:val="24"/>
          <w:szCs w:val="24"/>
        </w:rPr>
      </w:pPr>
      <w:r w:rsidRPr="0007692A">
        <w:rPr>
          <w:rFonts w:ascii="Times New Roman" w:hAnsi="Times New Roman"/>
          <w:sz w:val="24"/>
          <w:szCs w:val="24"/>
        </w:rPr>
        <w:t>3) визнано не чинн</w:t>
      </w:r>
      <w:r w:rsidR="00E45272">
        <w:rPr>
          <w:rFonts w:ascii="Times New Roman" w:hAnsi="Times New Roman"/>
          <w:sz w:val="24"/>
          <w:szCs w:val="24"/>
        </w:rPr>
        <w:t>ими</w:t>
      </w:r>
      <w:r w:rsidRPr="0007692A">
        <w:rPr>
          <w:rFonts w:ascii="Times New Roman" w:hAnsi="Times New Roman"/>
          <w:sz w:val="24"/>
          <w:szCs w:val="24"/>
        </w:rPr>
        <w:t xml:space="preserve"> </w:t>
      </w:r>
      <w:r w:rsidR="00304287">
        <w:rPr>
          <w:rFonts w:ascii="Times New Roman" w:hAnsi="Times New Roman"/>
          <w:sz w:val="24"/>
          <w:szCs w:val="24"/>
        </w:rPr>
        <w:t>4</w:t>
      </w:r>
      <w:r w:rsidRPr="0007692A">
        <w:rPr>
          <w:rFonts w:ascii="Times New Roman" w:hAnsi="Times New Roman"/>
          <w:sz w:val="24"/>
          <w:szCs w:val="24"/>
        </w:rPr>
        <w:t xml:space="preserve"> судов</w:t>
      </w:r>
      <w:r w:rsidR="00304287">
        <w:rPr>
          <w:rFonts w:ascii="Times New Roman" w:hAnsi="Times New Roman"/>
          <w:sz w:val="24"/>
          <w:szCs w:val="24"/>
        </w:rPr>
        <w:t>их</w:t>
      </w:r>
      <w:r w:rsidRPr="0007692A">
        <w:rPr>
          <w:rFonts w:ascii="Times New Roman" w:hAnsi="Times New Roman"/>
          <w:sz w:val="24"/>
          <w:szCs w:val="24"/>
        </w:rPr>
        <w:t xml:space="preserve"> </w:t>
      </w:r>
      <w:r w:rsidR="009A7DF3" w:rsidRPr="0007692A">
        <w:rPr>
          <w:rFonts w:ascii="Times New Roman" w:hAnsi="Times New Roman"/>
          <w:sz w:val="24"/>
          <w:szCs w:val="24"/>
        </w:rPr>
        <w:t>рішен</w:t>
      </w:r>
      <w:r w:rsidR="009A7DF3">
        <w:rPr>
          <w:rFonts w:ascii="Times New Roman" w:hAnsi="Times New Roman"/>
          <w:sz w:val="24"/>
          <w:szCs w:val="24"/>
        </w:rPr>
        <w:t>ня</w:t>
      </w:r>
      <w:r w:rsidRPr="0007692A">
        <w:rPr>
          <w:rFonts w:ascii="Times New Roman" w:hAnsi="Times New Roman"/>
          <w:sz w:val="24"/>
          <w:szCs w:val="24"/>
        </w:rPr>
        <w:t>;</w:t>
      </w:r>
    </w:p>
    <w:p w:rsidR="007E45CA" w:rsidRPr="0007692A" w:rsidRDefault="00BB0D65" w:rsidP="0049721B">
      <w:pPr>
        <w:pStyle w:val="a3"/>
        <w:tabs>
          <w:tab w:val="left" w:pos="284"/>
        </w:tabs>
        <w:spacing w:after="0" w:line="240" w:lineRule="auto"/>
        <w:ind w:left="0"/>
        <w:jc w:val="both"/>
        <w:rPr>
          <w:rFonts w:ascii="Times New Roman" w:hAnsi="Times New Roman"/>
          <w:sz w:val="24"/>
          <w:szCs w:val="24"/>
        </w:rPr>
      </w:pPr>
      <w:r w:rsidRPr="0007692A">
        <w:rPr>
          <w:rFonts w:ascii="Times New Roman" w:hAnsi="Times New Roman"/>
          <w:sz w:val="24"/>
          <w:szCs w:val="24"/>
        </w:rPr>
        <w:tab/>
      </w:r>
      <w:r w:rsidRPr="0007692A">
        <w:rPr>
          <w:rFonts w:ascii="Times New Roman" w:hAnsi="Times New Roman"/>
          <w:sz w:val="24"/>
          <w:szCs w:val="24"/>
        </w:rPr>
        <w:tab/>
      </w:r>
      <w:r w:rsidR="00F9450D" w:rsidRPr="0007692A">
        <w:rPr>
          <w:rFonts w:ascii="Times New Roman" w:hAnsi="Times New Roman"/>
          <w:sz w:val="24"/>
          <w:szCs w:val="24"/>
        </w:rPr>
        <w:t>4</w:t>
      </w:r>
      <w:r w:rsidRPr="0007692A">
        <w:rPr>
          <w:rFonts w:ascii="Times New Roman" w:hAnsi="Times New Roman"/>
          <w:sz w:val="24"/>
          <w:szCs w:val="24"/>
        </w:rPr>
        <w:t>)</w:t>
      </w:r>
      <w:r w:rsidR="00141E28" w:rsidRPr="0007692A">
        <w:rPr>
          <w:rFonts w:ascii="Times New Roman" w:hAnsi="Times New Roman"/>
          <w:sz w:val="24"/>
          <w:szCs w:val="24"/>
        </w:rPr>
        <w:t xml:space="preserve"> </w:t>
      </w:r>
      <w:r w:rsidR="00304287">
        <w:rPr>
          <w:rFonts w:ascii="Times New Roman" w:hAnsi="Times New Roman"/>
          <w:sz w:val="24"/>
          <w:szCs w:val="24"/>
        </w:rPr>
        <w:t>259</w:t>
      </w:r>
      <w:r w:rsidR="00141E28" w:rsidRPr="0007692A">
        <w:rPr>
          <w:rFonts w:ascii="Times New Roman" w:hAnsi="Times New Roman"/>
          <w:sz w:val="24"/>
          <w:szCs w:val="24"/>
        </w:rPr>
        <w:t xml:space="preserve"> </w:t>
      </w:r>
      <w:r w:rsidR="0049721B" w:rsidRPr="0007692A">
        <w:rPr>
          <w:rFonts w:ascii="Times New Roman" w:hAnsi="Times New Roman"/>
          <w:sz w:val="24"/>
          <w:szCs w:val="24"/>
        </w:rPr>
        <w:t xml:space="preserve">судових </w:t>
      </w:r>
      <w:r w:rsidR="00B05853" w:rsidRPr="0007692A">
        <w:rPr>
          <w:rFonts w:ascii="Times New Roman" w:hAnsi="Times New Roman"/>
          <w:sz w:val="24"/>
          <w:szCs w:val="24"/>
        </w:rPr>
        <w:t>рішень</w:t>
      </w:r>
      <w:r w:rsidR="00972A6E">
        <w:rPr>
          <w:rFonts w:ascii="Times New Roman" w:hAnsi="Times New Roman"/>
          <w:sz w:val="24"/>
          <w:szCs w:val="24"/>
        </w:rPr>
        <w:t xml:space="preserve"> були</w:t>
      </w:r>
      <w:r w:rsidR="0049721B" w:rsidRPr="0007692A">
        <w:rPr>
          <w:rFonts w:ascii="Times New Roman" w:hAnsi="Times New Roman"/>
          <w:sz w:val="24"/>
          <w:szCs w:val="24"/>
        </w:rPr>
        <w:t xml:space="preserve"> скасовані, </w:t>
      </w:r>
      <w:r w:rsidRPr="0007692A">
        <w:rPr>
          <w:rFonts w:ascii="Times New Roman" w:hAnsi="Times New Roman"/>
          <w:sz w:val="24"/>
          <w:szCs w:val="24"/>
        </w:rPr>
        <w:t xml:space="preserve">що складає </w:t>
      </w:r>
      <w:r w:rsidR="003C34EE" w:rsidRPr="0007692A">
        <w:rPr>
          <w:rFonts w:ascii="Times New Roman" w:hAnsi="Times New Roman"/>
          <w:sz w:val="24"/>
          <w:szCs w:val="24"/>
        </w:rPr>
        <w:t>1</w:t>
      </w:r>
      <w:r w:rsidR="00304287">
        <w:rPr>
          <w:rFonts w:ascii="Times New Roman" w:hAnsi="Times New Roman"/>
          <w:sz w:val="24"/>
          <w:szCs w:val="24"/>
        </w:rPr>
        <w:t>6</w:t>
      </w:r>
      <w:r w:rsidR="003C34EE" w:rsidRPr="0007692A">
        <w:rPr>
          <w:rFonts w:ascii="Times New Roman" w:hAnsi="Times New Roman"/>
          <w:sz w:val="24"/>
          <w:szCs w:val="24"/>
        </w:rPr>
        <w:t>,</w:t>
      </w:r>
      <w:r w:rsidR="00304287">
        <w:rPr>
          <w:rFonts w:ascii="Times New Roman" w:hAnsi="Times New Roman"/>
          <w:sz w:val="24"/>
          <w:szCs w:val="24"/>
        </w:rPr>
        <w:t>8</w:t>
      </w:r>
      <w:r w:rsidRPr="0007692A">
        <w:rPr>
          <w:rFonts w:ascii="Times New Roman" w:hAnsi="Times New Roman"/>
          <w:sz w:val="24"/>
          <w:szCs w:val="24"/>
        </w:rPr>
        <w:t xml:space="preserve">% </w:t>
      </w:r>
      <w:r w:rsidR="0049721B" w:rsidRPr="0007692A">
        <w:rPr>
          <w:rFonts w:ascii="Times New Roman" w:hAnsi="Times New Roman"/>
          <w:sz w:val="24"/>
          <w:szCs w:val="24"/>
        </w:rPr>
        <w:t>від справ, які надійшли до суду після перегляду Дніпропетровським апеляційним адміністративним судом</w:t>
      </w:r>
      <w:r w:rsidR="00EF64AA" w:rsidRPr="0007692A">
        <w:rPr>
          <w:rFonts w:ascii="Times New Roman" w:hAnsi="Times New Roman"/>
          <w:sz w:val="24"/>
          <w:szCs w:val="24"/>
        </w:rPr>
        <w:t xml:space="preserve"> у звітному періоді</w:t>
      </w:r>
      <w:r w:rsidR="0049721B" w:rsidRPr="0007692A">
        <w:rPr>
          <w:rFonts w:ascii="Times New Roman" w:hAnsi="Times New Roman"/>
          <w:sz w:val="24"/>
          <w:szCs w:val="24"/>
        </w:rPr>
        <w:t>.</w:t>
      </w:r>
    </w:p>
    <w:p w:rsidR="000B7D8F" w:rsidRPr="00A17B8D" w:rsidRDefault="000B7D8F" w:rsidP="000B7D8F">
      <w:pPr>
        <w:pStyle w:val="a3"/>
        <w:spacing w:after="0" w:line="240" w:lineRule="auto"/>
        <w:ind w:left="0" w:firstLine="720"/>
        <w:jc w:val="both"/>
        <w:rPr>
          <w:rFonts w:ascii="Times New Roman" w:hAnsi="Times New Roman"/>
          <w:sz w:val="24"/>
          <w:szCs w:val="24"/>
        </w:rPr>
      </w:pPr>
      <w:r w:rsidRPr="00A17B8D">
        <w:rPr>
          <w:rFonts w:ascii="Times New Roman" w:hAnsi="Times New Roman"/>
          <w:sz w:val="24"/>
          <w:szCs w:val="24"/>
        </w:rPr>
        <w:t>Протягом 201</w:t>
      </w:r>
      <w:r w:rsidR="00304287">
        <w:rPr>
          <w:rFonts w:ascii="Times New Roman" w:hAnsi="Times New Roman"/>
          <w:sz w:val="24"/>
          <w:szCs w:val="24"/>
        </w:rPr>
        <w:t>7</w:t>
      </w:r>
      <w:r w:rsidRPr="00A17B8D">
        <w:rPr>
          <w:rFonts w:ascii="Times New Roman" w:hAnsi="Times New Roman"/>
          <w:sz w:val="24"/>
          <w:szCs w:val="24"/>
        </w:rPr>
        <w:t xml:space="preserve"> року Вищим адміністративним судом було переглянуто в касаційному порядку та скасовано </w:t>
      </w:r>
      <w:r w:rsidR="00304287">
        <w:rPr>
          <w:rFonts w:ascii="Times New Roman" w:hAnsi="Times New Roman"/>
          <w:sz w:val="24"/>
          <w:szCs w:val="24"/>
        </w:rPr>
        <w:t>12</w:t>
      </w:r>
      <w:r w:rsidRPr="00A17B8D">
        <w:rPr>
          <w:rFonts w:ascii="Times New Roman" w:hAnsi="Times New Roman"/>
          <w:sz w:val="24"/>
          <w:szCs w:val="24"/>
        </w:rPr>
        <w:t xml:space="preserve"> ухвал Дніпропетровського апеляційного адміністративного суду, рішення Запорізького окружного адміністративного суду в залишено силі. </w:t>
      </w:r>
    </w:p>
    <w:p w:rsidR="000B7D8F" w:rsidRPr="00A17B8D" w:rsidRDefault="000B7D8F" w:rsidP="000B7D8F">
      <w:pPr>
        <w:pStyle w:val="a3"/>
        <w:spacing w:after="0" w:line="240" w:lineRule="auto"/>
        <w:ind w:left="0" w:firstLine="720"/>
        <w:jc w:val="both"/>
        <w:rPr>
          <w:rFonts w:ascii="Times New Roman" w:hAnsi="Times New Roman"/>
          <w:sz w:val="24"/>
          <w:szCs w:val="24"/>
        </w:rPr>
      </w:pPr>
      <w:r w:rsidRPr="00A17B8D">
        <w:rPr>
          <w:rFonts w:ascii="Times New Roman" w:hAnsi="Times New Roman"/>
          <w:sz w:val="24"/>
          <w:szCs w:val="24"/>
        </w:rPr>
        <w:t xml:space="preserve">Верховним Судом України було скасовано </w:t>
      </w:r>
      <w:r w:rsidR="00304287">
        <w:rPr>
          <w:rFonts w:ascii="Times New Roman" w:hAnsi="Times New Roman"/>
          <w:sz w:val="24"/>
          <w:szCs w:val="24"/>
        </w:rPr>
        <w:t>2</w:t>
      </w:r>
      <w:r w:rsidRPr="00A17B8D">
        <w:rPr>
          <w:rFonts w:ascii="Times New Roman" w:hAnsi="Times New Roman"/>
          <w:sz w:val="24"/>
          <w:szCs w:val="24"/>
        </w:rPr>
        <w:t xml:space="preserve"> рішен</w:t>
      </w:r>
      <w:r w:rsidR="00304287">
        <w:rPr>
          <w:rFonts w:ascii="Times New Roman" w:hAnsi="Times New Roman"/>
          <w:sz w:val="24"/>
          <w:szCs w:val="24"/>
        </w:rPr>
        <w:t>ня</w:t>
      </w:r>
      <w:r w:rsidRPr="00A17B8D">
        <w:rPr>
          <w:rFonts w:ascii="Times New Roman" w:hAnsi="Times New Roman"/>
          <w:sz w:val="24"/>
          <w:szCs w:val="24"/>
        </w:rPr>
        <w:t xml:space="preserve"> суду першої, апеляційної та касаційної інстанції.</w:t>
      </w:r>
    </w:p>
    <w:p w:rsidR="00304287" w:rsidRDefault="00304287" w:rsidP="00643A8D">
      <w:pPr>
        <w:pStyle w:val="a3"/>
        <w:tabs>
          <w:tab w:val="left" w:pos="284"/>
        </w:tabs>
        <w:spacing w:after="0" w:line="240" w:lineRule="auto"/>
        <w:ind w:left="0"/>
        <w:jc w:val="center"/>
        <w:rPr>
          <w:rFonts w:ascii="Times New Roman" w:hAnsi="Times New Roman" w:cs="Times New Roman"/>
          <w:b/>
          <w:sz w:val="24"/>
          <w:szCs w:val="24"/>
        </w:rPr>
      </w:pPr>
    </w:p>
    <w:p w:rsidR="00643A8D" w:rsidRDefault="00643A8D" w:rsidP="00643A8D">
      <w:pPr>
        <w:pStyle w:val="a3"/>
        <w:tabs>
          <w:tab w:val="left" w:pos="284"/>
        </w:tabs>
        <w:spacing w:after="0" w:line="240" w:lineRule="auto"/>
        <w:ind w:left="0"/>
        <w:jc w:val="center"/>
        <w:rPr>
          <w:rFonts w:ascii="Times New Roman" w:hAnsi="Times New Roman" w:cs="Times New Roman"/>
          <w:b/>
          <w:sz w:val="24"/>
          <w:szCs w:val="24"/>
        </w:rPr>
      </w:pPr>
      <w:r w:rsidRPr="00331A56">
        <w:rPr>
          <w:rFonts w:ascii="Times New Roman" w:hAnsi="Times New Roman" w:cs="Times New Roman"/>
          <w:b/>
          <w:sz w:val="24"/>
          <w:szCs w:val="24"/>
        </w:rPr>
        <w:t>Висновки</w:t>
      </w:r>
    </w:p>
    <w:p w:rsidR="00BA1640" w:rsidRPr="00BA1640" w:rsidRDefault="00BA1640" w:rsidP="00866691">
      <w:pPr>
        <w:shd w:val="clear" w:color="auto" w:fill="FFFFFF"/>
        <w:spacing w:after="0" w:line="240" w:lineRule="auto"/>
        <w:ind w:firstLine="708"/>
        <w:jc w:val="both"/>
        <w:rPr>
          <w:rFonts w:ascii="Times New Roman" w:hAnsi="Times New Roman" w:cs="Times New Roman"/>
          <w:sz w:val="24"/>
          <w:szCs w:val="24"/>
          <w:highlight w:val="yellow"/>
          <w:lang w:eastAsia="uk-UA"/>
        </w:rPr>
      </w:pPr>
      <w:r w:rsidRPr="007066EA">
        <w:rPr>
          <w:rFonts w:ascii="Times New Roman" w:hAnsi="Times New Roman" w:cs="Times New Roman"/>
          <w:sz w:val="24"/>
          <w:szCs w:val="24"/>
          <w:lang w:val="uk-UA" w:eastAsia="uk-UA"/>
        </w:rPr>
        <w:t>Підсумовуючи дані аналізу показників здійснення судочинства Запорізьким окружним адміністративним судом у 201</w:t>
      </w:r>
      <w:r w:rsidR="008214D8">
        <w:rPr>
          <w:rFonts w:ascii="Times New Roman" w:hAnsi="Times New Roman" w:cs="Times New Roman"/>
          <w:sz w:val="24"/>
          <w:szCs w:val="24"/>
          <w:lang w:val="uk-UA" w:eastAsia="uk-UA"/>
        </w:rPr>
        <w:t>7</w:t>
      </w:r>
      <w:r w:rsidRPr="007066EA">
        <w:rPr>
          <w:rFonts w:ascii="Times New Roman" w:hAnsi="Times New Roman" w:cs="Times New Roman"/>
          <w:sz w:val="24"/>
          <w:szCs w:val="24"/>
          <w:lang w:val="uk-UA" w:eastAsia="uk-UA"/>
        </w:rPr>
        <w:t xml:space="preserve"> ро</w:t>
      </w:r>
      <w:r w:rsidR="00FA3FD5" w:rsidRPr="007066EA">
        <w:rPr>
          <w:rFonts w:ascii="Times New Roman" w:hAnsi="Times New Roman" w:cs="Times New Roman"/>
          <w:sz w:val="24"/>
          <w:szCs w:val="24"/>
          <w:lang w:val="uk-UA" w:eastAsia="uk-UA"/>
        </w:rPr>
        <w:t>ці</w:t>
      </w:r>
      <w:r w:rsidRPr="007066EA">
        <w:rPr>
          <w:rFonts w:ascii="Times New Roman" w:hAnsi="Times New Roman" w:cs="Times New Roman"/>
          <w:sz w:val="24"/>
          <w:szCs w:val="24"/>
          <w:lang w:val="uk-UA" w:eastAsia="uk-UA"/>
        </w:rPr>
        <w:t xml:space="preserve">, необхідно відмітити, що звітний період охарактеризувався </w:t>
      </w:r>
      <w:r w:rsidR="00FF5BC7">
        <w:rPr>
          <w:rFonts w:ascii="Times New Roman" w:hAnsi="Times New Roman" w:cs="Times New Roman"/>
          <w:sz w:val="24"/>
          <w:szCs w:val="24"/>
          <w:lang w:val="uk-UA" w:eastAsia="uk-UA"/>
        </w:rPr>
        <w:t>з</w:t>
      </w:r>
      <w:r w:rsidR="00CC7E3F">
        <w:rPr>
          <w:rFonts w:ascii="Times New Roman" w:hAnsi="Times New Roman" w:cs="Times New Roman"/>
          <w:sz w:val="24"/>
          <w:szCs w:val="24"/>
          <w:lang w:val="uk-UA" w:eastAsia="uk-UA"/>
        </w:rPr>
        <w:t>більшенням</w:t>
      </w:r>
      <w:r w:rsidRPr="007066EA">
        <w:rPr>
          <w:rFonts w:ascii="Times New Roman" w:hAnsi="Times New Roman" w:cs="Times New Roman"/>
          <w:sz w:val="24"/>
          <w:szCs w:val="24"/>
          <w:lang w:val="uk-UA" w:eastAsia="uk-UA"/>
        </w:rPr>
        <w:t xml:space="preserve"> надходження позовних заяв </w:t>
      </w:r>
      <w:r w:rsidR="00FF5BC7">
        <w:rPr>
          <w:rFonts w:ascii="Times New Roman" w:hAnsi="Times New Roman" w:cs="Times New Roman"/>
          <w:sz w:val="24"/>
          <w:szCs w:val="24"/>
          <w:lang w:val="uk-UA" w:eastAsia="uk-UA"/>
        </w:rPr>
        <w:t xml:space="preserve">справ </w:t>
      </w:r>
      <w:r w:rsidRPr="007066EA">
        <w:rPr>
          <w:rFonts w:ascii="Times New Roman" w:hAnsi="Times New Roman" w:cs="Times New Roman"/>
          <w:sz w:val="24"/>
          <w:szCs w:val="24"/>
          <w:lang w:val="uk-UA" w:eastAsia="uk-UA"/>
        </w:rPr>
        <w:t>та матеріалів в порівнянні з 201</w:t>
      </w:r>
      <w:r w:rsidR="00FF5BC7">
        <w:rPr>
          <w:rFonts w:ascii="Times New Roman" w:hAnsi="Times New Roman" w:cs="Times New Roman"/>
          <w:sz w:val="24"/>
          <w:szCs w:val="24"/>
          <w:lang w:val="uk-UA" w:eastAsia="uk-UA"/>
        </w:rPr>
        <w:t>6</w:t>
      </w:r>
      <w:r w:rsidRPr="007066EA">
        <w:rPr>
          <w:rFonts w:ascii="Times New Roman" w:hAnsi="Times New Roman" w:cs="Times New Roman"/>
          <w:sz w:val="24"/>
          <w:szCs w:val="24"/>
          <w:lang w:val="uk-UA" w:eastAsia="uk-UA"/>
        </w:rPr>
        <w:t xml:space="preserve"> роком на </w:t>
      </w:r>
      <w:r w:rsidR="00D905D5">
        <w:rPr>
          <w:rFonts w:ascii="Times New Roman" w:hAnsi="Times New Roman" w:cs="Times New Roman"/>
          <w:sz w:val="24"/>
          <w:szCs w:val="24"/>
          <w:lang w:val="uk-UA" w:eastAsia="uk-UA"/>
        </w:rPr>
        <w:t>14,7</w:t>
      </w:r>
      <w:r w:rsidRPr="007066EA">
        <w:rPr>
          <w:rFonts w:ascii="Times New Roman" w:hAnsi="Times New Roman" w:cs="Times New Roman"/>
          <w:sz w:val="24"/>
          <w:szCs w:val="24"/>
          <w:lang w:val="uk-UA" w:eastAsia="uk-UA"/>
        </w:rPr>
        <w:t>%.</w:t>
      </w:r>
      <w:r w:rsidR="007066EA" w:rsidRPr="007066EA">
        <w:rPr>
          <w:rFonts w:ascii="Times New Roman" w:hAnsi="Times New Roman" w:cs="Times New Roman"/>
          <w:sz w:val="24"/>
          <w:szCs w:val="24"/>
          <w:lang w:val="uk-UA" w:eastAsia="uk-UA"/>
        </w:rPr>
        <w:t xml:space="preserve"> </w:t>
      </w:r>
      <w:r w:rsidR="00866691">
        <w:rPr>
          <w:rFonts w:ascii="Times New Roman" w:hAnsi="Times New Roman" w:cs="Times New Roman"/>
          <w:sz w:val="24"/>
          <w:szCs w:val="24"/>
          <w:lang w:val="uk-UA" w:eastAsia="uk-UA"/>
        </w:rPr>
        <w:t xml:space="preserve">Кількість розглянутих справ і матеріалів на 11,6% більше ніж у 2016 році. </w:t>
      </w:r>
    </w:p>
    <w:p w:rsidR="00BA1640" w:rsidRPr="000919C0" w:rsidRDefault="0076071E" w:rsidP="009B0CED">
      <w:pPr>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eastAsia="uk-UA"/>
        </w:rPr>
        <w:t>З</w:t>
      </w:r>
      <w:r w:rsidR="00BA1640" w:rsidRPr="007066EA">
        <w:rPr>
          <w:rFonts w:ascii="Times New Roman" w:hAnsi="Times New Roman" w:cs="Times New Roman"/>
          <w:sz w:val="24"/>
          <w:szCs w:val="24"/>
          <w:lang w:val="uk-UA" w:eastAsia="uk-UA"/>
        </w:rPr>
        <w:t xml:space="preserve">гідно </w:t>
      </w:r>
      <w:r w:rsidR="00D45E69">
        <w:rPr>
          <w:rFonts w:ascii="Times New Roman" w:hAnsi="Times New Roman" w:cs="Times New Roman"/>
          <w:sz w:val="24"/>
          <w:szCs w:val="24"/>
          <w:lang w:val="uk-UA" w:eastAsia="uk-UA"/>
        </w:rPr>
        <w:t>даних звіту Б</w:t>
      </w:r>
      <w:r w:rsidR="00BA1640" w:rsidRPr="007066EA">
        <w:rPr>
          <w:rFonts w:ascii="Times New Roman" w:hAnsi="Times New Roman" w:cs="Times New Roman"/>
          <w:sz w:val="24"/>
          <w:szCs w:val="24"/>
          <w:lang w:val="uk-UA" w:eastAsia="uk-UA"/>
        </w:rPr>
        <w:t xml:space="preserve">азових показників роботи суду відсоток розгляду </w:t>
      </w:r>
      <w:r w:rsidR="007066EA" w:rsidRPr="007066EA">
        <w:rPr>
          <w:rFonts w:ascii="Times New Roman" w:hAnsi="Times New Roman" w:cs="Times New Roman"/>
          <w:sz w:val="24"/>
          <w:szCs w:val="24"/>
          <w:lang w:val="uk-UA" w:eastAsia="uk-UA"/>
        </w:rPr>
        <w:t>справ становить</w:t>
      </w:r>
      <w:r>
        <w:rPr>
          <w:rFonts w:ascii="Times New Roman" w:hAnsi="Times New Roman" w:cs="Times New Roman"/>
          <w:sz w:val="24"/>
          <w:szCs w:val="24"/>
          <w:lang w:val="uk-UA" w:eastAsia="uk-UA"/>
        </w:rPr>
        <w:t xml:space="preserve"> </w:t>
      </w:r>
      <w:r w:rsidR="007A4BD0">
        <w:rPr>
          <w:rFonts w:ascii="Times New Roman" w:hAnsi="Times New Roman" w:cs="Times New Roman"/>
          <w:sz w:val="24"/>
          <w:szCs w:val="24"/>
          <w:lang w:val="uk-UA" w:eastAsia="uk-UA"/>
        </w:rPr>
        <w:t>97</w:t>
      </w:r>
      <w:r w:rsidR="007066EA" w:rsidRPr="007066EA">
        <w:rPr>
          <w:rFonts w:ascii="Times New Roman" w:hAnsi="Times New Roman" w:cs="Times New Roman"/>
          <w:sz w:val="24"/>
          <w:szCs w:val="24"/>
          <w:lang w:val="uk-UA" w:eastAsia="uk-UA"/>
        </w:rPr>
        <w:t>,</w:t>
      </w:r>
      <w:r w:rsidR="007A4BD0">
        <w:rPr>
          <w:rFonts w:ascii="Times New Roman" w:hAnsi="Times New Roman" w:cs="Times New Roman"/>
          <w:sz w:val="24"/>
          <w:szCs w:val="24"/>
          <w:lang w:val="uk-UA" w:eastAsia="uk-UA"/>
        </w:rPr>
        <w:t>2</w:t>
      </w:r>
      <w:r w:rsidR="00BA1640" w:rsidRPr="007066EA">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w:t>
      </w:r>
      <w:r w:rsidR="00BA1640" w:rsidRPr="007066EA">
        <w:rPr>
          <w:rFonts w:ascii="Times New Roman" w:hAnsi="Times New Roman" w:cs="Times New Roman"/>
          <w:sz w:val="24"/>
          <w:szCs w:val="24"/>
          <w:lang w:val="uk-UA" w:eastAsia="uk-UA"/>
        </w:rPr>
        <w:t xml:space="preserve"> що </w:t>
      </w:r>
      <w:r>
        <w:rPr>
          <w:rFonts w:ascii="Times New Roman" w:hAnsi="Times New Roman" w:cs="Times New Roman"/>
          <w:sz w:val="24"/>
          <w:szCs w:val="24"/>
          <w:lang w:val="uk-UA" w:eastAsia="uk-UA"/>
        </w:rPr>
        <w:t>відповідно</w:t>
      </w:r>
      <w:r w:rsidR="00BA1640" w:rsidRPr="007066EA">
        <w:rPr>
          <w:rFonts w:ascii="Times New Roman" w:hAnsi="Times New Roman" w:cs="Times New Roman"/>
          <w:sz w:val="24"/>
          <w:szCs w:val="24"/>
          <w:lang w:val="uk-UA" w:eastAsia="uk-UA"/>
        </w:rPr>
        <w:t xml:space="preserve"> Європейської комісії з ефективності правосуддя є нейтральним показником в системі оцінювання роботи суду</w:t>
      </w:r>
      <w:r>
        <w:rPr>
          <w:rFonts w:ascii="Times New Roman" w:hAnsi="Times New Roman" w:cs="Times New Roman"/>
          <w:sz w:val="24"/>
          <w:szCs w:val="24"/>
          <w:lang w:val="uk-UA" w:eastAsia="uk-UA"/>
        </w:rPr>
        <w:t>,</w:t>
      </w:r>
      <w:r w:rsidR="00BA1640" w:rsidRPr="007066EA">
        <w:rPr>
          <w:rFonts w:ascii="Times New Roman" w:hAnsi="Times New Roman" w:cs="Times New Roman"/>
          <w:sz w:val="24"/>
          <w:szCs w:val="24"/>
          <w:lang w:val="uk-UA" w:eastAsia="uk-UA"/>
        </w:rPr>
        <w:t xml:space="preserve"> та відносить</w:t>
      </w:r>
      <w:r>
        <w:rPr>
          <w:rFonts w:ascii="Times New Roman" w:hAnsi="Times New Roman" w:cs="Times New Roman"/>
          <w:sz w:val="24"/>
          <w:szCs w:val="24"/>
          <w:lang w:val="uk-UA" w:eastAsia="uk-UA"/>
        </w:rPr>
        <w:t xml:space="preserve">ся до </w:t>
      </w:r>
      <w:r>
        <w:rPr>
          <w:rFonts w:ascii="Times New Roman" w:hAnsi="Times New Roman" w:cs="Times New Roman"/>
          <w:sz w:val="24"/>
          <w:szCs w:val="24"/>
          <w:lang w:val="uk-UA" w:eastAsia="uk-UA"/>
        </w:rPr>
        <w:lastRenderedPageBreak/>
        <w:t>рекомендованих стандартів.</w:t>
      </w:r>
      <w:r w:rsidR="00BA1640" w:rsidRPr="007066EA">
        <w:rPr>
          <w:rFonts w:ascii="Times New Roman" w:hAnsi="Times New Roman" w:cs="Times New Roman"/>
          <w:sz w:val="24"/>
          <w:szCs w:val="24"/>
          <w:lang w:val="uk-UA" w:eastAsia="uk-UA"/>
        </w:rPr>
        <w:t xml:space="preserve"> </w:t>
      </w:r>
      <w:r w:rsidR="00BA1640" w:rsidRPr="000919C0">
        <w:rPr>
          <w:rFonts w:ascii="Times New Roman" w:hAnsi="Times New Roman" w:cs="Times New Roman"/>
          <w:sz w:val="24"/>
          <w:szCs w:val="24"/>
          <w:lang w:val="uk-UA"/>
        </w:rPr>
        <w:t xml:space="preserve">Варто звернути увагу і на показники сплаченого судового збору, що </w:t>
      </w:r>
      <w:r w:rsidR="009B0CED">
        <w:rPr>
          <w:rFonts w:ascii="Times New Roman" w:hAnsi="Times New Roman" w:cs="Times New Roman"/>
          <w:sz w:val="24"/>
          <w:szCs w:val="24"/>
          <w:lang w:val="uk-UA"/>
        </w:rPr>
        <w:t xml:space="preserve">на 143,6% </w:t>
      </w:r>
      <w:r w:rsidR="00BA1640" w:rsidRPr="000919C0">
        <w:rPr>
          <w:rFonts w:ascii="Times New Roman" w:hAnsi="Times New Roman" w:cs="Times New Roman"/>
          <w:sz w:val="24"/>
          <w:szCs w:val="24"/>
          <w:lang w:val="uk-UA"/>
        </w:rPr>
        <w:t>більше ніж у 201</w:t>
      </w:r>
      <w:r w:rsidR="009B0CED">
        <w:rPr>
          <w:rFonts w:ascii="Times New Roman" w:hAnsi="Times New Roman" w:cs="Times New Roman"/>
          <w:sz w:val="24"/>
          <w:szCs w:val="24"/>
          <w:lang w:val="uk-UA"/>
        </w:rPr>
        <w:t>6</w:t>
      </w:r>
      <w:r w:rsidR="00BA1640" w:rsidRPr="000919C0">
        <w:rPr>
          <w:rFonts w:ascii="Times New Roman" w:hAnsi="Times New Roman" w:cs="Times New Roman"/>
          <w:sz w:val="24"/>
          <w:szCs w:val="24"/>
          <w:lang w:val="uk-UA"/>
        </w:rPr>
        <w:t xml:space="preserve"> ро</w:t>
      </w:r>
      <w:r w:rsidR="000919C0" w:rsidRPr="000919C0">
        <w:rPr>
          <w:rFonts w:ascii="Times New Roman" w:hAnsi="Times New Roman" w:cs="Times New Roman"/>
          <w:sz w:val="24"/>
          <w:szCs w:val="24"/>
          <w:lang w:val="uk-UA"/>
        </w:rPr>
        <w:t>ці</w:t>
      </w:r>
      <w:r w:rsidR="009B0CED">
        <w:rPr>
          <w:rFonts w:ascii="Times New Roman" w:hAnsi="Times New Roman" w:cs="Times New Roman"/>
          <w:sz w:val="24"/>
          <w:szCs w:val="24"/>
          <w:lang w:val="uk-UA"/>
        </w:rPr>
        <w:t>.</w:t>
      </w:r>
    </w:p>
    <w:p w:rsidR="00BA1640" w:rsidRPr="000919C0" w:rsidRDefault="00BA1640" w:rsidP="00BA1640">
      <w:pPr>
        <w:shd w:val="clear" w:color="auto" w:fill="FFFFFF"/>
        <w:spacing w:after="0" w:line="240" w:lineRule="auto"/>
        <w:ind w:firstLine="539"/>
        <w:jc w:val="both"/>
        <w:rPr>
          <w:rFonts w:ascii="Times New Roman" w:hAnsi="Times New Roman" w:cs="Times New Roman"/>
          <w:sz w:val="24"/>
          <w:szCs w:val="24"/>
          <w:lang w:val="uk-UA"/>
        </w:rPr>
      </w:pPr>
      <w:r w:rsidRPr="000919C0">
        <w:rPr>
          <w:rFonts w:ascii="Times New Roman" w:hAnsi="Times New Roman" w:cs="Times New Roman"/>
          <w:sz w:val="24"/>
          <w:szCs w:val="24"/>
          <w:lang w:val="uk-UA"/>
        </w:rPr>
        <w:t>Таким чином підводячи підсумок вищевикладеному  можна констатувати, що  якісні та кількісні показники роботи суду протягом звітного періоду виконані на належному рівні, однак це не виключає можливості забезпечення всіх необхідних заходів щодо підвищення оперативності розгляду адміністративних справ суддями, дотримання строків їх розгляду, судового контролю.</w:t>
      </w:r>
    </w:p>
    <w:p w:rsidR="00BA1640" w:rsidRPr="000919C0" w:rsidRDefault="00BA1640" w:rsidP="00BA1640">
      <w:pPr>
        <w:shd w:val="clear" w:color="auto" w:fill="FFFFFF"/>
        <w:spacing w:after="0" w:line="240" w:lineRule="auto"/>
        <w:ind w:firstLine="539"/>
        <w:jc w:val="both"/>
        <w:rPr>
          <w:rFonts w:ascii="Times New Roman" w:hAnsi="Times New Roman" w:cs="Times New Roman"/>
          <w:sz w:val="24"/>
          <w:szCs w:val="24"/>
          <w:lang w:val="uk-UA"/>
        </w:rPr>
      </w:pPr>
      <w:r w:rsidRPr="000919C0">
        <w:rPr>
          <w:rFonts w:ascii="Times New Roman" w:hAnsi="Times New Roman" w:cs="Times New Roman"/>
          <w:sz w:val="24"/>
          <w:szCs w:val="24"/>
          <w:lang w:val="uk-UA"/>
        </w:rPr>
        <w:t>Задля якісного та оперативного захисту громадянами і юридичними особами своїх порушених прав і законних інтересів та утримання на належному рівні якості винесених судових рішень суддям Запорізького окружного адміністративного суду доцільно продовжувати систематично проводити моніторинг змін у діючому законодавстві та вивчати судову практику.</w:t>
      </w:r>
    </w:p>
    <w:p w:rsidR="00486924" w:rsidRPr="00950A25" w:rsidRDefault="00486924" w:rsidP="00486924">
      <w:pPr>
        <w:spacing w:line="240" w:lineRule="auto"/>
        <w:ind w:firstLine="539"/>
        <w:jc w:val="both"/>
        <w:rPr>
          <w:rFonts w:ascii="Times New Roman" w:hAnsi="Times New Roman" w:cs="Times New Roman"/>
          <w:sz w:val="24"/>
          <w:szCs w:val="24"/>
          <w:lang w:val="uk-UA"/>
        </w:rPr>
      </w:pPr>
      <w:r w:rsidRPr="00950A25">
        <w:rPr>
          <w:rFonts w:ascii="Times New Roman" w:hAnsi="Times New Roman" w:cs="Times New Roman"/>
          <w:sz w:val="24"/>
          <w:szCs w:val="24"/>
          <w:lang w:val="uk-UA"/>
        </w:rPr>
        <w:t xml:space="preserve">З метою подальшого покращення діяльності суду, доцільно було б і в подальшому організувати проведення навчальних семінарів з працівниками суду стосовно правил та порядку роботи у КП «ДСС». Водночас необхідним є підвищення кваліфікації працівників апарату з метою покращення рівня організації діяльності суду. </w:t>
      </w:r>
    </w:p>
    <w:p w:rsidR="009E1E21" w:rsidRPr="00331A56" w:rsidRDefault="009E1E21" w:rsidP="00F63E3E">
      <w:pPr>
        <w:pStyle w:val="a3"/>
        <w:spacing w:after="0" w:line="240" w:lineRule="auto"/>
        <w:ind w:left="0" w:firstLine="720"/>
        <w:jc w:val="both"/>
        <w:rPr>
          <w:rFonts w:ascii="Times New Roman" w:hAnsi="Times New Roman" w:cs="Times New Roman"/>
          <w:sz w:val="24"/>
          <w:szCs w:val="24"/>
        </w:rPr>
      </w:pPr>
    </w:p>
    <w:p w:rsidR="00B81402" w:rsidRPr="00B81402" w:rsidRDefault="00630C13" w:rsidP="00B81402">
      <w:pPr>
        <w:tabs>
          <w:tab w:val="left" w:pos="1080"/>
        </w:tabs>
        <w:rPr>
          <w:rFonts w:ascii="Times New Roman" w:hAnsi="Times New Roman" w:cs="Times New Roman"/>
          <w:sz w:val="24"/>
          <w:szCs w:val="24"/>
          <w:lang w:val="uk-UA"/>
        </w:rPr>
      </w:pPr>
      <w:r>
        <w:rPr>
          <w:rFonts w:ascii="Times New Roman" w:hAnsi="Times New Roman" w:cs="Times New Roman"/>
          <w:sz w:val="24"/>
          <w:szCs w:val="24"/>
          <w:lang w:val="uk-UA"/>
        </w:rPr>
        <w:t>Г</w:t>
      </w:r>
      <w:r w:rsidR="00B81402" w:rsidRPr="00B81402">
        <w:rPr>
          <w:rFonts w:ascii="Times New Roman" w:hAnsi="Times New Roman" w:cs="Times New Roman"/>
          <w:sz w:val="24"/>
          <w:szCs w:val="24"/>
          <w:lang w:val="uk-UA"/>
        </w:rPr>
        <w:t>олов</w:t>
      </w:r>
      <w:r>
        <w:rPr>
          <w:rFonts w:ascii="Times New Roman" w:hAnsi="Times New Roman" w:cs="Times New Roman"/>
          <w:sz w:val="24"/>
          <w:szCs w:val="24"/>
          <w:lang w:val="uk-UA"/>
        </w:rPr>
        <w:t>а</w:t>
      </w:r>
      <w:r w:rsidR="00B81402" w:rsidRPr="00B81402">
        <w:rPr>
          <w:rFonts w:ascii="Times New Roman" w:hAnsi="Times New Roman" w:cs="Times New Roman"/>
          <w:sz w:val="24"/>
          <w:szCs w:val="24"/>
          <w:lang w:val="uk-UA"/>
        </w:rPr>
        <w:t xml:space="preserve"> суду</w:t>
      </w:r>
      <w:r w:rsidR="00B81402" w:rsidRPr="00B81402">
        <w:rPr>
          <w:rFonts w:ascii="Times New Roman" w:hAnsi="Times New Roman" w:cs="Times New Roman"/>
          <w:sz w:val="24"/>
          <w:szCs w:val="24"/>
          <w:lang w:val="uk-UA"/>
        </w:rPr>
        <w:tab/>
      </w:r>
      <w:r w:rsidR="00B81402" w:rsidRPr="00B81402">
        <w:rPr>
          <w:rFonts w:ascii="Times New Roman" w:hAnsi="Times New Roman" w:cs="Times New Roman"/>
          <w:sz w:val="24"/>
          <w:szCs w:val="24"/>
          <w:lang w:val="uk-UA"/>
        </w:rPr>
        <w:tab/>
      </w:r>
      <w:r w:rsidR="00B81402" w:rsidRPr="00B81402">
        <w:rPr>
          <w:rFonts w:ascii="Times New Roman" w:hAnsi="Times New Roman" w:cs="Times New Roman"/>
          <w:sz w:val="24"/>
          <w:szCs w:val="24"/>
          <w:lang w:val="uk-UA"/>
        </w:rPr>
        <w:tab/>
      </w:r>
      <w:r w:rsidR="00B81402" w:rsidRPr="00B81402">
        <w:rPr>
          <w:rFonts w:ascii="Times New Roman" w:hAnsi="Times New Roman" w:cs="Times New Roman"/>
          <w:sz w:val="24"/>
          <w:szCs w:val="24"/>
          <w:lang w:val="uk-UA"/>
        </w:rPr>
        <w:tab/>
      </w:r>
      <w:r w:rsidR="00B81402" w:rsidRPr="00B81402">
        <w:rPr>
          <w:rFonts w:ascii="Times New Roman" w:hAnsi="Times New Roman" w:cs="Times New Roman"/>
          <w:sz w:val="24"/>
          <w:szCs w:val="24"/>
          <w:lang w:val="uk-UA"/>
        </w:rPr>
        <w:tab/>
      </w:r>
      <w:r w:rsidR="00B81402" w:rsidRPr="00B81402">
        <w:rPr>
          <w:rFonts w:ascii="Times New Roman" w:hAnsi="Times New Roman" w:cs="Times New Roman"/>
          <w:sz w:val="24"/>
          <w:szCs w:val="24"/>
          <w:lang w:val="uk-UA"/>
        </w:rPr>
        <w:tab/>
      </w:r>
      <w:r w:rsidR="00B81402" w:rsidRPr="00B81402">
        <w:rPr>
          <w:rFonts w:ascii="Times New Roman" w:hAnsi="Times New Roman" w:cs="Times New Roman"/>
          <w:sz w:val="24"/>
          <w:szCs w:val="24"/>
          <w:lang w:val="uk-UA"/>
        </w:rPr>
        <w:tab/>
        <w:t xml:space="preserve">                               </w:t>
      </w:r>
      <w:r>
        <w:rPr>
          <w:rFonts w:ascii="Times New Roman" w:hAnsi="Times New Roman" w:cs="Times New Roman"/>
          <w:sz w:val="24"/>
          <w:szCs w:val="24"/>
          <w:lang w:val="uk-UA"/>
        </w:rPr>
        <w:t>О.В. Прудивус</w:t>
      </w:r>
    </w:p>
    <w:p w:rsidR="00E84291" w:rsidRPr="00331A56" w:rsidRDefault="00E84291" w:rsidP="00797E30">
      <w:pPr>
        <w:spacing w:after="0" w:line="240" w:lineRule="auto"/>
        <w:jc w:val="both"/>
        <w:rPr>
          <w:rFonts w:ascii="Times New Roman" w:hAnsi="Times New Roman" w:cs="Times New Roman"/>
          <w:b/>
          <w:sz w:val="24"/>
          <w:szCs w:val="24"/>
          <w:lang w:val="uk-UA"/>
        </w:rPr>
      </w:pPr>
    </w:p>
    <w:sectPr w:rsidR="00E84291" w:rsidRPr="00331A56" w:rsidSect="00397782">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354" w:rsidRDefault="00152354" w:rsidP="00092DC7">
      <w:pPr>
        <w:spacing w:after="0" w:line="240" w:lineRule="auto"/>
      </w:pPr>
      <w:r>
        <w:separator/>
      </w:r>
    </w:p>
  </w:endnote>
  <w:endnote w:type="continuationSeparator" w:id="0">
    <w:p w:rsidR="00152354" w:rsidRDefault="00152354" w:rsidP="0009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4D" w:rsidRDefault="0029774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4D" w:rsidRDefault="0029774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4D" w:rsidRDefault="002977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354" w:rsidRDefault="00152354" w:rsidP="00092DC7">
      <w:pPr>
        <w:spacing w:after="0" w:line="240" w:lineRule="auto"/>
      </w:pPr>
      <w:r>
        <w:separator/>
      </w:r>
    </w:p>
  </w:footnote>
  <w:footnote w:type="continuationSeparator" w:id="0">
    <w:p w:rsidR="00152354" w:rsidRDefault="00152354" w:rsidP="00092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4D" w:rsidRDefault="002977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84126"/>
      <w:docPartObj>
        <w:docPartGallery w:val="Page Numbers (Top of Page)"/>
        <w:docPartUnique/>
      </w:docPartObj>
    </w:sdtPr>
    <w:sdtEndPr/>
    <w:sdtContent>
      <w:p w:rsidR="0029774D" w:rsidRDefault="0029774D">
        <w:pPr>
          <w:pStyle w:val="a7"/>
          <w:jc w:val="center"/>
        </w:pPr>
        <w:r w:rsidRPr="00737AB3">
          <w:rPr>
            <w:rFonts w:ascii="Times New Roman" w:hAnsi="Times New Roman" w:cs="Times New Roman"/>
          </w:rPr>
          <w:fldChar w:fldCharType="begin"/>
        </w:r>
        <w:r w:rsidRPr="00737AB3">
          <w:rPr>
            <w:rFonts w:ascii="Times New Roman" w:hAnsi="Times New Roman" w:cs="Times New Roman"/>
          </w:rPr>
          <w:instrText xml:space="preserve"> PAGE   \* MERGEFORMAT </w:instrText>
        </w:r>
        <w:r w:rsidRPr="00737AB3">
          <w:rPr>
            <w:rFonts w:ascii="Times New Roman" w:hAnsi="Times New Roman" w:cs="Times New Roman"/>
          </w:rPr>
          <w:fldChar w:fldCharType="separate"/>
        </w:r>
        <w:r w:rsidR="0015269F">
          <w:rPr>
            <w:rFonts w:ascii="Times New Roman" w:hAnsi="Times New Roman" w:cs="Times New Roman"/>
            <w:noProof/>
          </w:rPr>
          <w:t>9</w:t>
        </w:r>
        <w:r w:rsidRPr="00737AB3">
          <w:rPr>
            <w:rFonts w:ascii="Times New Roman" w:hAnsi="Times New Roman" w:cs="Times New Roman"/>
          </w:rPr>
          <w:fldChar w:fldCharType="end"/>
        </w:r>
      </w:p>
    </w:sdtContent>
  </w:sdt>
  <w:p w:rsidR="0029774D" w:rsidRDefault="002977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4D" w:rsidRDefault="002977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1AD"/>
    <w:multiLevelType w:val="hybridMultilevel"/>
    <w:tmpl w:val="8390B720"/>
    <w:lvl w:ilvl="0" w:tplc="D55CDE0E">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137ED"/>
    <w:multiLevelType w:val="hybridMultilevel"/>
    <w:tmpl w:val="D1483E34"/>
    <w:lvl w:ilvl="0" w:tplc="8ED61284">
      <w:start w:val="974"/>
      <w:numFmt w:val="bullet"/>
      <w:lvlText w:val="-"/>
      <w:lvlJc w:val="left"/>
      <w:pPr>
        <w:ind w:left="900" w:hanging="360"/>
      </w:pPr>
      <w:rPr>
        <w:rFonts w:ascii="Times New Roman" w:eastAsia="Times New Roman" w:hAnsi="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616F19"/>
    <w:multiLevelType w:val="hybridMultilevel"/>
    <w:tmpl w:val="AD7CEC88"/>
    <w:lvl w:ilvl="0" w:tplc="866C817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6006E7"/>
    <w:multiLevelType w:val="hybridMultilevel"/>
    <w:tmpl w:val="03AE9EB0"/>
    <w:lvl w:ilvl="0" w:tplc="4F7E249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52CA"/>
    <w:multiLevelType w:val="hybridMultilevel"/>
    <w:tmpl w:val="8952AD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B9F5422"/>
    <w:multiLevelType w:val="hybridMultilevel"/>
    <w:tmpl w:val="D40A065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1C0B09"/>
    <w:multiLevelType w:val="hybridMultilevel"/>
    <w:tmpl w:val="652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C35"/>
    <w:multiLevelType w:val="hybridMultilevel"/>
    <w:tmpl w:val="9DC41604"/>
    <w:lvl w:ilvl="0" w:tplc="466610FA">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2C3A5935"/>
    <w:multiLevelType w:val="hybridMultilevel"/>
    <w:tmpl w:val="DDDAA58C"/>
    <w:lvl w:ilvl="0" w:tplc="822C56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E6A1B"/>
    <w:multiLevelType w:val="hybridMultilevel"/>
    <w:tmpl w:val="F55C604A"/>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3441A"/>
    <w:multiLevelType w:val="hybridMultilevel"/>
    <w:tmpl w:val="B12448C4"/>
    <w:lvl w:ilvl="0" w:tplc="8A183D9A">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B7FF6"/>
    <w:multiLevelType w:val="hybridMultilevel"/>
    <w:tmpl w:val="1DA230D0"/>
    <w:lvl w:ilvl="0" w:tplc="A1A0DF4C">
      <w:start w:val="746"/>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7B3E09"/>
    <w:multiLevelType w:val="hybridMultilevel"/>
    <w:tmpl w:val="A8A06C64"/>
    <w:lvl w:ilvl="0" w:tplc="88EEA348">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503C5D8C"/>
    <w:multiLevelType w:val="hybridMultilevel"/>
    <w:tmpl w:val="336E77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986A10"/>
    <w:multiLevelType w:val="hybridMultilevel"/>
    <w:tmpl w:val="767E4DB6"/>
    <w:lvl w:ilvl="0" w:tplc="D40EA820">
      <w:start w:val="1802"/>
      <w:numFmt w:val="bullet"/>
      <w:lvlText w:val="-"/>
      <w:lvlJc w:val="left"/>
      <w:pPr>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6523D0"/>
    <w:multiLevelType w:val="hybridMultilevel"/>
    <w:tmpl w:val="312CDC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4811FF"/>
    <w:multiLevelType w:val="hybridMultilevel"/>
    <w:tmpl w:val="5B1CAD4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E744F4A"/>
    <w:multiLevelType w:val="hybridMultilevel"/>
    <w:tmpl w:val="9C642DDE"/>
    <w:lvl w:ilvl="0" w:tplc="B5C4C98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2D13338"/>
    <w:multiLevelType w:val="hybridMultilevel"/>
    <w:tmpl w:val="53B4A4B6"/>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67E05"/>
    <w:multiLevelType w:val="hybridMultilevel"/>
    <w:tmpl w:val="BAE20076"/>
    <w:lvl w:ilvl="0" w:tplc="277C2FEC">
      <w:numFmt w:val="bullet"/>
      <w:lvlText w:val="-"/>
      <w:lvlJc w:val="left"/>
      <w:pPr>
        <w:ind w:left="735"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AF0C32"/>
    <w:multiLevelType w:val="hybridMultilevel"/>
    <w:tmpl w:val="09FA310C"/>
    <w:lvl w:ilvl="0" w:tplc="04190003">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9C4EC4"/>
    <w:multiLevelType w:val="hybridMultilevel"/>
    <w:tmpl w:val="0A2A3CD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8F0660"/>
    <w:multiLevelType w:val="hybridMultilevel"/>
    <w:tmpl w:val="5C76721E"/>
    <w:lvl w:ilvl="0" w:tplc="54B88414">
      <w:start w:val="4"/>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2"/>
  </w:num>
  <w:num w:numId="8">
    <w:abstractNumId w:val="7"/>
  </w:num>
  <w:num w:numId="9">
    <w:abstractNumId w:val="0"/>
  </w:num>
  <w:num w:numId="10">
    <w:abstractNumId w:val="10"/>
  </w:num>
  <w:num w:numId="11">
    <w:abstractNumId w:val="2"/>
  </w:num>
  <w:num w:numId="12">
    <w:abstractNumId w:val="17"/>
  </w:num>
  <w:num w:numId="13">
    <w:abstractNumId w:val="16"/>
  </w:num>
  <w:num w:numId="14">
    <w:abstractNumId w:val="20"/>
  </w:num>
  <w:num w:numId="15">
    <w:abstractNumId w:val="3"/>
  </w:num>
  <w:num w:numId="16">
    <w:abstractNumId w:val="15"/>
  </w:num>
  <w:num w:numId="17">
    <w:abstractNumId w:val="5"/>
  </w:num>
  <w:num w:numId="18">
    <w:abstractNumId w:val="13"/>
  </w:num>
  <w:num w:numId="19">
    <w:abstractNumId w:val="21"/>
  </w:num>
  <w:num w:numId="20">
    <w:abstractNumId w:val="9"/>
  </w:num>
  <w:num w:numId="21">
    <w:abstractNumId w:val="22"/>
  </w:num>
  <w:num w:numId="22">
    <w:abstractNumId w:val="18"/>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7F12"/>
    <w:rsid w:val="00001A95"/>
    <w:rsid w:val="00004C2B"/>
    <w:rsid w:val="00006238"/>
    <w:rsid w:val="00006E6D"/>
    <w:rsid w:val="00007469"/>
    <w:rsid w:val="00007E80"/>
    <w:rsid w:val="000122AD"/>
    <w:rsid w:val="00012F5E"/>
    <w:rsid w:val="00014A8E"/>
    <w:rsid w:val="00017859"/>
    <w:rsid w:val="00020A6D"/>
    <w:rsid w:val="000219D5"/>
    <w:rsid w:val="00021F4F"/>
    <w:rsid w:val="0002323A"/>
    <w:rsid w:val="00024F28"/>
    <w:rsid w:val="000256BE"/>
    <w:rsid w:val="000302C6"/>
    <w:rsid w:val="00031AEA"/>
    <w:rsid w:val="00031E33"/>
    <w:rsid w:val="000365A9"/>
    <w:rsid w:val="00036BF0"/>
    <w:rsid w:val="0004224C"/>
    <w:rsid w:val="0004241F"/>
    <w:rsid w:val="00042B75"/>
    <w:rsid w:val="000439F6"/>
    <w:rsid w:val="00043CCB"/>
    <w:rsid w:val="00045A27"/>
    <w:rsid w:val="00050AF6"/>
    <w:rsid w:val="00054926"/>
    <w:rsid w:val="00055EB6"/>
    <w:rsid w:val="00056DA8"/>
    <w:rsid w:val="00057053"/>
    <w:rsid w:val="00057EA8"/>
    <w:rsid w:val="00060116"/>
    <w:rsid w:val="00063830"/>
    <w:rsid w:val="0006519F"/>
    <w:rsid w:val="00066251"/>
    <w:rsid w:val="0007378A"/>
    <w:rsid w:val="000750BD"/>
    <w:rsid w:val="00075F32"/>
    <w:rsid w:val="0007692A"/>
    <w:rsid w:val="000770C6"/>
    <w:rsid w:val="000771CE"/>
    <w:rsid w:val="00080434"/>
    <w:rsid w:val="0008381B"/>
    <w:rsid w:val="0008435F"/>
    <w:rsid w:val="000919C0"/>
    <w:rsid w:val="0009201B"/>
    <w:rsid w:val="0009292B"/>
    <w:rsid w:val="0009298F"/>
    <w:rsid w:val="00092DC7"/>
    <w:rsid w:val="00094D31"/>
    <w:rsid w:val="00096AF4"/>
    <w:rsid w:val="00097AB4"/>
    <w:rsid w:val="000A2546"/>
    <w:rsid w:val="000A2B48"/>
    <w:rsid w:val="000A39D3"/>
    <w:rsid w:val="000A437C"/>
    <w:rsid w:val="000A4570"/>
    <w:rsid w:val="000A4B6E"/>
    <w:rsid w:val="000B1065"/>
    <w:rsid w:val="000B1255"/>
    <w:rsid w:val="000B12AE"/>
    <w:rsid w:val="000B1873"/>
    <w:rsid w:val="000B1BAC"/>
    <w:rsid w:val="000B2596"/>
    <w:rsid w:val="000B310F"/>
    <w:rsid w:val="000B35FF"/>
    <w:rsid w:val="000B631B"/>
    <w:rsid w:val="000B7D8F"/>
    <w:rsid w:val="000C0B69"/>
    <w:rsid w:val="000C1EBC"/>
    <w:rsid w:val="000C40CD"/>
    <w:rsid w:val="000C4285"/>
    <w:rsid w:val="000C4562"/>
    <w:rsid w:val="000C5A84"/>
    <w:rsid w:val="000C6DB0"/>
    <w:rsid w:val="000C7096"/>
    <w:rsid w:val="000C7E38"/>
    <w:rsid w:val="000D1B6C"/>
    <w:rsid w:val="000D2371"/>
    <w:rsid w:val="000D770E"/>
    <w:rsid w:val="000D7A42"/>
    <w:rsid w:val="000E2114"/>
    <w:rsid w:val="000E495C"/>
    <w:rsid w:val="000E52EB"/>
    <w:rsid w:val="000E5CA1"/>
    <w:rsid w:val="000E7518"/>
    <w:rsid w:val="000F0AB2"/>
    <w:rsid w:val="000F0D2E"/>
    <w:rsid w:val="000F17B6"/>
    <w:rsid w:val="000F3E76"/>
    <w:rsid w:val="000F4996"/>
    <w:rsid w:val="000F5383"/>
    <w:rsid w:val="000F584C"/>
    <w:rsid w:val="000F612E"/>
    <w:rsid w:val="000F6F35"/>
    <w:rsid w:val="00101DD4"/>
    <w:rsid w:val="0010364B"/>
    <w:rsid w:val="00103FCF"/>
    <w:rsid w:val="001048F8"/>
    <w:rsid w:val="00105AF4"/>
    <w:rsid w:val="00105DF4"/>
    <w:rsid w:val="0010691B"/>
    <w:rsid w:val="00107614"/>
    <w:rsid w:val="00107BB5"/>
    <w:rsid w:val="00110223"/>
    <w:rsid w:val="001106E0"/>
    <w:rsid w:val="00110CBD"/>
    <w:rsid w:val="00111F15"/>
    <w:rsid w:val="00112243"/>
    <w:rsid w:val="001122BD"/>
    <w:rsid w:val="00113428"/>
    <w:rsid w:val="00113C53"/>
    <w:rsid w:val="0011594D"/>
    <w:rsid w:val="0012184F"/>
    <w:rsid w:val="0012193A"/>
    <w:rsid w:val="00121A2A"/>
    <w:rsid w:val="00121A6E"/>
    <w:rsid w:val="00121A74"/>
    <w:rsid w:val="0012236D"/>
    <w:rsid w:val="001253E1"/>
    <w:rsid w:val="00126656"/>
    <w:rsid w:val="00131269"/>
    <w:rsid w:val="0013307C"/>
    <w:rsid w:val="00134375"/>
    <w:rsid w:val="00134715"/>
    <w:rsid w:val="0013480F"/>
    <w:rsid w:val="00134B80"/>
    <w:rsid w:val="00137664"/>
    <w:rsid w:val="00140A9B"/>
    <w:rsid w:val="00140AF2"/>
    <w:rsid w:val="00141E28"/>
    <w:rsid w:val="00142925"/>
    <w:rsid w:val="00142BF2"/>
    <w:rsid w:val="0014408E"/>
    <w:rsid w:val="00145FE9"/>
    <w:rsid w:val="00147EEC"/>
    <w:rsid w:val="00150FDD"/>
    <w:rsid w:val="001518E2"/>
    <w:rsid w:val="00152354"/>
    <w:rsid w:val="0015269F"/>
    <w:rsid w:val="001553C8"/>
    <w:rsid w:val="001561D0"/>
    <w:rsid w:val="0015692D"/>
    <w:rsid w:val="001620A1"/>
    <w:rsid w:val="001644F1"/>
    <w:rsid w:val="00164C64"/>
    <w:rsid w:val="00170F30"/>
    <w:rsid w:val="0017234B"/>
    <w:rsid w:val="00174A15"/>
    <w:rsid w:val="00175198"/>
    <w:rsid w:val="0017617E"/>
    <w:rsid w:val="0017667C"/>
    <w:rsid w:val="0017671A"/>
    <w:rsid w:val="00177FF3"/>
    <w:rsid w:val="001838B4"/>
    <w:rsid w:val="00184873"/>
    <w:rsid w:val="001858B4"/>
    <w:rsid w:val="001866D9"/>
    <w:rsid w:val="00190BA8"/>
    <w:rsid w:val="00192246"/>
    <w:rsid w:val="00193D50"/>
    <w:rsid w:val="00194EDE"/>
    <w:rsid w:val="00195D70"/>
    <w:rsid w:val="00195E22"/>
    <w:rsid w:val="00197B22"/>
    <w:rsid w:val="001A32E9"/>
    <w:rsid w:val="001A34CE"/>
    <w:rsid w:val="001A382F"/>
    <w:rsid w:val="001A5FC4"/>
    <w:rsid w:val="001A627A"/>
    <w:rsid w:val="001A7410"/>
    <w:rsid w:val="001A76A9"/>
    <w:rsid w:val="001A77B1"/>
    <w:rsid w:val="001A78D7"/>
    <w:rsid w:val="001B0DFC"/>
    <w:rsid w:val="001B0F7A"/>
    <w:rsid w:val="001B1555"/>
    <w:rsid w:val="001B1E9A"/>
    <w:rsid w:val="001B332B"/>
    <w:rsid w:val="001B43DF"/>
    <w:rsid w:val="001B708F"/>
    <w:rsid w:val="001C69C1"/>
    <w:rsid w:val="001D0623"/>
    <w:rsid w:val="001D06E0"/>
    <w:rsid w:val="001D0E1A"/>
    <w:rsid w:val="001D1789"/>
    <w:rsid w:val="001D1CBB"/>
    <w:rsid w:val="001D1FDD"/>
    <w:rsid w:val="001D3857"/>
    <w:rsid w:val="001D3A9D"/>
    <w:rsid w:val="001D3C01"/>
    <w:rsid w:val="001D4A36"/>
    <w:rsid w:val="001D601E"/>
    <w:rsid w:val="001D7A17"/>
    <w:rsid w:val="001E1AA4"/>
    <w:rsid w:val="001E33E9"/>
    <w:rsid w:val="001E3AB1"/>
    <w:rsid w:val="001E3AD9"/>
    <w:rsid w:val="001E3FCD"/>
    <w:rsid w:val="001E6AB3"/>
    <w:rsid w:val="001F0ECC"/>
    <w:rsid w:val="001F13E8"/>
    <w:rsid w:val="001F532F"/>
    <w:rsid w:val="001F58D3"/>
    <w:rsid w:val="001F5E21"/>
    <w:rsid w:val="001F65A4"/>
    <w:rsid w:val="0020297A"/>
    <w:rsid w:val="00206F81"/>
    <w:rsid w:val="00211997"/>
    <w:rsid w:val="00213494"/>
    <w:rsid w:val="00213C20"/>
    <w:rsid w:val="00216124"/>
    <w:rsid w:val="00216D6E"/>
    <w:rsid w:val="00216FF7"/>
    <w:rsid w:val="002173D4"/>
    <w:rsid w:val="00217C08"/>
    <w:rsid w:val="00217D5B"/>
    <w:rsid w:val="002212FA"/>
    <w:rsid w:val="002228ED"/>
    <w:rsid w:val="002244F9"/>
    <w:rsid w:val="00224721"/>
    <w:rsid w:val="00225DE8"/>
    <w:rsid w:val="00230747"/>
    <w:rsid w:val="00233F9D"/>
    <w:rsid w:val="0023581E"/>
    <w:rsid w:val="002362C6"/>
    <w:rsid w:val="00240001"/>
    <w:rsid w:val="0024092F"/>
    <w:rsid w:val="00241F1C"/>
    <w:rsid w:val="002428A8"/>
    <w:rsid w:val="0024362E"/>
    <w:rsid w:val="00243A53"/>
    <w:rsid w:val="0024616A"/>
    <w:rsid w:val="0024642F"/>
    <w:rsid w:val="00246679"/>
    <w:rsid w:val="0025022C"/>
    <w:rsid w:val="00250D38"/>
    <w:rsid w:val="002523EB"/>
    <w:rsid w:val="0025369E"/>
    <w:rsid w:val="002539E5"/>
    <w:rsid w:val="00253A53"/>
    <w:rsid w:val="00253CC1"/>
    <w:rsid w:val="00257642"/>
    <w:rsid w:val="00262F44"/>
    <w:rsid w:val="002644EE"/>
    <w:rsid w:val="00264A85"/>
    <w:rsid w:val="00264D28"/>
    <w:rsid w:val="002654A7"/>
    <w:rsid w:val="002657BB"/>
    <w:rsid w:val="00265F76"/>
    <w:rsid w:val="00267FE8"/>
    <w:rsid w:val="00270A8B"/>
    <w:rsid w:val="00272266"/>
    <w:rsid w:val="00272B11"/>
    <w:rsid w:val="0027361E"/>
    <w:rsid w:val="00274774"/>
    <w:rsid w:val="00282B42"/>
    <w:rsid w:val="0028353C"/>
    <w:rsid w:val="00284B97"/>
    <w:rsid w:val="00285263"/>
    <w:rsid w:val="00287647"/>
    <w:rsid w:val="0029201D"/>
    <w:rsid w:val="002965DA"/>
    <w:rsid w:val="0029774D"/>
    <w:rsid w:val="00297EF1"/>
    <w:rsid w:val="002A0B7F"/>
    <w:rsid w:val="002A2030"/>
    <w:rsid w:val="002A272F"/>
    <w:rsid w:val="002A320F"/>
    <w:rsid w:val="002A38A0"/>
    <w:rsid w:val="002A7ADA"/>
    <w:rsid w:val="002A7E47"/>
    <w:rsid w:val="002B007F"/>
    <w:rsid w:val="002B0C70"/>
    <w:rsid w:val="002B2970"/>
    <w:rsid w:val="002B2C1C"/>
    <w:rsid w:val="002B310D"/>
    <w:rsid w:val="002B315A"/>
    <w:rsid w:val="002B31A9"/>
    <w:rsid w:val="002B4243"/>
    <w:rsid w:val="002B4A22"/>
    <w:rsid w:val="002B50B0"/>
    <w:rsid w:val="002B57F4"/>
    <w:rsid w:val="002B623E"/>
    <w:rsid w:val="002B6DC0"/>
    <w:rsid w:val="002C0EC8"/>
    <w:rsid w:val="002C0F9C"/>
    <w:rsid w:val="002C1AAE"/>
    <w:rsid w:val="002C2B94"/>
    <w:rsid w:val="002C4393"/>
    <w:rsid w:val="002C7683"/>
    <w:rsid w:val="002C79B6"/>
    <w:rsid w:val="002D014C"/>
    <w:rsid w:val="002D0D68"/>
    <w:rsid w:val="002D1AA8"/>
    <w:rsid w:val="002D4ACB"/>
    <w:rsid w:val="002D6BE2"/>
    <w:rsid w:val="002D7F12"/>
    <w:rsid w:val="002E116F"/>
    <w:rsid w:val="002E1274"/>
    <w:rsid w:val="002E1ED2"/>
    <w:rsid w:val="002E2CF3"/>
    <w:rsid w:val="002E3307"/>
    <w:rsid w:val="002E5A1D"/>
    <w:rsid w:val="002E6BD3"/>
    <w:rsid w:val="002F280A"/>
    <w:rsid w:val="002F30B4"/>
    <w:rsid w:val="002F3B76"/>
    <w:rsid w:val="0030061D"/>
    <w:rsid w:val="00300A3B"/>
    <w:rsid w:val="00301568"/>
    <w:rsid w:val="0030182D"/>
    <w:rsid w:val="00304287"/>
    <w:rsid w:val="00304F50"/>
    <w:rsid w:val="00312CE7"/>
    <w:rsid w:val="00316C9A"/>
    <w:rsid w:val="003207A5"/>
    <w:rsid w:val="0032100B"/>
    <w:rsid w:val="00321AC3"/>
    <w:rsid w:val="003304B4"/>
    <w:rsid w:val="00331784"/>
    <w:rsid w:val="00331A56"/>
    <w:rsid w:val="00334371"/>
    <w:rsid w:val="00341BF8"/>
    <w:rsid w:val="00343E04"/>
    <w:rsid w:val="00343E81"/>
    <w:rsid w:val="003451AD"/>
    <w:rsid w:val="003467EB"/>
    <w:rsid w:val="00346EA5"/>
    <w:rsid w:val="003510BC"/>
    <w:rsid w:val="003511D4"/>
    <w:rsid w:val="00353825"/>
    <w:rsid w:val="00353B3A"/>
    <w:rsid w:val="003562E3"/>
    <w:rsid w:val="00357011"/>
    <w:rsid w:val="003620B5"/>
    <w:rsid w:val="00362D3F"/>
    <w:rsid w:val="003647CD"/>
    <w:rsid w:val="00366825"/>
    <w:rsid w:val="003716D8"/>
    <w:rsid w:val="00373772"/>
    <w:rsid w:val="00375CC2"/>
    <w:rsid w:val="0038202F"/>
    <w:rsid w:val="003843BF"/>
    <w:rsid w:val="003847E8"/>
    <w:rsid w:val="00385513"/>
    <w:rsid w:val="0038682C"/>
    <w:rsid w:val="003901DD"/>
    <w:rsid w:val="003912E0"/>
    <w:rsid w:val="00391372"/>
    <w:rsid w:val="00393E5F"/>
    <w:rsid w:val="00395324"/>
    <w:rsid w:val="003967FD"/>
    <w:rsid w:val="00397782"/>
    <w:rsid w:val="0039778B"/>
    <w:rsid w:val="0039793E"/>
    <w:rsid w:val="00397D4A"/>
    <w:rsid w:val="003A125D"/>
    <w:rsid w:val="003A1D27"/>
    <w:rsid w:val="003A38AE"/>
    <w:rsid w:val="003A58DB"/>
    <w:rsid w:val="003A5CC4"/>
    <w:rsid w:val="003A6208"/>
    <w:rsid w:val="003A760F"/>
    <w:rsid w:val="003B00D2"/>
    <w:rsid w:val="003B0795"/>
    <w:rsid w:val="003B0C0E"/>
    <w:rsid w:val="003B1CC4"/>
    <w:rsid w:val="003B2152"/>
    <w:rsid w:val="003B2463"/>
    <w:rsid w:val="003B3B6A"/>
    <w:rsid w:val="003B4B48"/>
    <w:rsid w:val="003B508D"/>
    <w:rsid w:val="003B52DA"/>
    <w:rsid w:val="003B63E0"/>
    <w:rsid w:val="003B63EF"/>
    <w:rsid w:val="003C0C8E"/>
    <w:rsid w:val="003C1201"/>
    <w:rsid w:val="003C23FD"/>
    <w:rsid w:val="003C34EE"/>
    <w:rsid w:val="003C4454"/>
    <w:rsid w:val="003C4712"/>
    <w:rsid w:val="003C5B7F"/>
    <w:rsid w:val="003C736E"/>
    <w:rsid w:val="003D1320"/>
    <w:rsid w:val="003D16C0"/>
    <w:rsid w:val="003D22E8"/>
    <w:rsid w:val="003D3AC2"/>
    <w:rsid w:val="003D51C2"/>
    <w:rsid w:val="003D79FC"/>
    <w:rsid w:val="003E2D78"/>
    <w:rsid w:val="003E3105"/>
    <w:rsid w:val="003E4804"/>
    <w:rsid w:val="003E5811"/>
    <w:rsid w:val="003E6829"/>
    <w:rsid w:val="003E79FF"/>
    <w:rsid w:val="003F4C54"/>
    <w:rsid w:val="003F4F38"/>
    <w:rsid w:val="00400627"/>
    <w:rsid w:val="00400B2D"/>
    <w:rsid w:val="00401C6E"/>
    <w:rsid w:val="00401CE2"/>
    <w:rsid w:val="00401F24"/>
    <w:rsid w:val="00402FE5"/>
    <w:rsid w:val="00404062"/>
    <w:rsid w:val="00404BEA"/>
    <w:rsid w:val="00406240"/>
    <w:rsid w:val="00412322"/>
    <w:rsid w:val="004128AD"/>
    <w:rsid w:val="0041303B"/>
    <w:rsid w:val="00413802"/>
    <w:rsid w:val="0041385F"/>
    <w:rsid w:val="00414024"/>
    <w:rsid w:val="00414CDD"/>
    <w:rsid w:val="00415BA6"/>
    <w:rsid w:val="00417ACC"/>
    <w:rsid w:val="00417CB2"/>
    <w:rsid w:val="0042108C"/>
    <w:rsid w:val="0042350C"/>
    <w:rsid w:val="00423B89"/>
    <w:rsid w:val="004245EC"/>
    <w:rsid w:val="00425832"/>
    <w:rsid w:val="00425F63"/>
    <w:rsid w:val="00427F7F"/>
    <w:rsid w:val="00434F61"/>
    <w:rsid w:val="0043586D"/>
    <w:rsid w:val="00435BBD"/>
    <w:rsid w:val="0043659F"/>
    <w:rsid w:val="00437479"/>
    <w:rsid w:val="00441D18"/>
    <w:rsid w:val="00441D7B"/>
    <w:rsid w:val="00441DA8"/>
    <w:rsid w:val="00442AE8"/>
    <w:rsid w:val="00444D41"/>
    <w:rsid w:val="0044509F"/>
    <w:rsid w:val="00451429"/>
    <w:rsid w:val="0045230E"/>
    <w:rsid w:val="00452B02"/>
    <w:rsid w:val="004532B8"/>
    <w:rsid w:val="00454AF0"/>
    <w:rsid w:val="00454B1E"/>
    <w:rsid w:val="00456790"/>
    <w:rsid w:val="00457267"/>
    <w:rsid w:val="0046133F"/>
    <w:rsid w:val="00462C60"/>
    <w:rsid w:val="00462F5F"/>
    <w:rsid w:val="00466198"/>
    <w:rsid w:val="00466FDB"/>
    <w:rsid w:val="00467478"/>
    <w:rsid w:val="00473291"/>
    <w:rsid w:val="004736CE"/>
    <w:rsid w:val="00474236"/>
    <w:rsid w:val="00474769"/>
    <w:rsid w:val="00474B03"/>
    <w:rsid w:val="00474DB0"/>
    <w:rsid w:val="00477DF9"/>
    <w:rsid w:val="004842BB"/>
    <w:rsid w:val="00486924"/>
    <w:rsid w:val="00486D22"/>
    <w:rsid w:val="004878D7"/>
    <w:rsid w:val="00487C2E"/>
    <w:rsid w:val="0049017F"/>
    <w:rsid w:val="004908F0"/>
    <w:rsid w:val="0049695D"/>
    <w:rsid w:val="0049721B"/>
    <w:rsid w:val="00497CBB"/>
    <w:rsid w:val="004A127B"/>
    <w:rsid w:val="004A256F"/>
    <w:rsid w:val="004A3568"/>
    <w:rsid w:val="004A4CAA"/>
    <w:rsid w:val="004A686C"/>
    <w:rsid w:val="004B270B"/>
    <w:rsid w:val="004B4480"/>
    <w:rsid w:val="004B4CA8"/>
    <w:rsid w:val="004C0427"/>
    <w:rsid w:val="004C072D"/>
    <w:rsid w:val="004C16CC"/>
    <w:rsid w:val="004C1D94"/>
    <w:rsid w:val="004C6F94"/>
    <w:rsid w:val="004C70E9"/>
    <w:rsid w:val="004D03C6"/>
    <w:rsid w:val="004D17BA"/>
    <w:rsid w:val="004D1A87"/>
    <w:rsid w:val="004D40D7"/>
    <w:rsid w:val="004D4E39"/>
    <w:rsid w:val="004D4FD9"/>
    <w:rsid w:val="004D6EC2"/>
    <w:rsid w:val="004D7C2D"/>
    <w:rsid w:val="004E048B"/>
    <w:rsid w:val="004E0BD3"/>
    <w:rsid w:val="004E0F0F"/>
    <w:rsid w:val="004E3349"/>
    <w:rsid w:val="004E4215"/>
    <w:rsid w:val="004E565B"/>
    <w:rsid w:val="004E78BC"/>
    <w:rsid w:val="004E7998"/>
    <w:rsid w:val="004F0BC5"/>
    <w:rsid w:val="004F11AF"/>
    <w:rsid w:val="004F12D4"/>
    <w:rsid w:val="004F1577"/>
    <w:rsid w:val="004F2831"/>
    <w:rsid w:val="00510D85"/>
    <w:rsid w:val="00511C2C"/>
    <w:rsid w:val="00512427"/>
    <w:rsid w:val="005128CC"/>
    <w:rsid w:val="005128D3"/>
    <w:rsid w:val="00513A40"/>
    <w:rsid w:val="005219D9"/>
    <w:rsid w:val="00521F36"/>
    <w:rsid w:val="00522A0E"/>
    <w:rsid w:val="0052323E"/>
    <w:rsid w:val="0052380E"/>
    <w:rsid w:val="00524627"/>
    <w:rsid w:val="00524844"/>
    <w:rsid w:val="00526320"/>
    <w:rsid w:val="00526B0B"/>
    <w:rsid w:val="00526F55"/>
    <w:rsid w:val="00527654"/>
    <w:rsid w:val="00527974"/>
    <w:rsid w:val="005312F3"/>
    <w:rsid w:val="00531680"/>
    <w:rsid w:val="0053171A"/>
    <w:rsid w:val="005318F4"/>
    <w:rsid w:val="00535D49"/>
    <w:rsid w:val="00537162"/>
    <w:rsid w:val="00541C76"/>
    <w:rsid w:val="00541F21"/>
    <w:rsid w:val="00545247"/>
    <w:rsid w:val="005455DD"/>
    <w:rsid w:val="005456E2"/>
    <w:rsid w:val="0054697F"/>
    <w:rsid w:val="005477A2"/>
    <w:rsid w:val="00551373"/>
    <w:rsid w:val="00554693"/>
    <w:rsid w:val="005551F1"/>
    <w:rsid w:val="00556148"/>
    <w:rsid w:val="00556155"/>
    <w:rsid w:val="0056341A"/>
    <w:rsid w:val="0056664C"/>
    <w:rsid w:val="00566F5F"/>
    <w:rsid w:val="005675E1"/>
    <w:rsid w:val="0057074B"/>
    <w:rsid w:val="0057334A"/>
    <w:rsid w:val="005746A0"/>
    <w:rsid w:val="00575EF6"/>
    <w:rsid w:val="005760F1"/>
    <w:rsid w:val="00576631"/>
    <w:rsid w:val="00580585"/>
    <w:rsid w:val="00582FD7"/>
    <w:rsid w:val="00583E15"/>
    <w:rsid w:val="00584067"/>
    <w:rsid w:val="005909F2"/>
    <w:rsid w:val="00592383"/>
    <w:rsid w:val="0059258C"/>
    <w:rsid w:val="00592B65"/>
    <w:rsid w:val="00593192"/>
    <w:rsid w:val="00594DBA"/>
    <w:rsid w:val="005965D8"/>
    <w:rsid w:val="005965FB"/>
    <w:rsid w:val="00596ECB"/>
    <w:rsid w:val="005977F3"/>
    <w:rsid w:val="005978E9"/>
    <w:rsid w:val="005A1823"/>
    <w:rsid w:val="005A1C40"/>
    <w:rsid w:val="005A3EB6"/>
    <w:rsid w:val="005A492B"/>
    <w:rsid w:val="005A5F00"/>
    <w:rsid w:val="005A69E2"/>
    <w:rsid w:val="005A71B9"/>
    <w:rsid w:val="005A7ABD"/>
    <w:rsid w:val="005B07DF"/>
    <w:rsid w:val="005B0E97"/>
    <w:rsid w:val="005B2693"/>
    <w:rsid w:val="005B2BFD"/>
    <w:rsid w:val="005B2DFE"/>
    <w:rsid w:val="005B3292"/>
    <w:rsid w:val="005B45DB"/>
    <w:rsid w:val="005B4ACA"/>
    <w:rsid w:val="005B5781"/>
    <w:rsid w:val="005B63EB"/>
    <w:rsid w:val="005B68B1"/>
    <w:rsid w:val="005B6F1C"/>
    <w:rsid w:val="005C0141"/>
    <w:rsid w:val="005C0255"/>
    <w:rsid w:val="005C0485"/>
    <w:rsid w:val="005C06B1"/>
    <w:rsid w:val="005C0B81"/>
    <w:rsid w:val="005C1D71"/>
    <w:rsid w:val="005C29C4"/>
    <w:rsid w:val="005C2B7E"/>
    <w:rsid w:val="005C2D0D"/>
    <w:rsid w:val="005C5490"/>
    <w:rsid w:val="005C711A"/>
    <w:rsid w:val="005D1177"/>
    <w:rsid w:val="005D11E0"/>
    <w:rsid w:val="005E0BE9"/>
    <w:rsid w:val="005E180A"/>
    <w:rsid w:val="005E1D86"/>
    <w:rsid w:val="005E1F6C"/>
    <w:rsid w:val="005E405E"/>
    <w:rsid w:val="005E4F7D"/>
    <w:rsid w:val="005E5707"/>
    <w:rsid w:val="005E60C7"/>
    <w:rsid w:val="005E769D"/>
    <w:rsid w:val="005F2FD0"/>
    <w:rsid w:val="005F50B1"/>
    <w:rsid w:val="005F792B"/>
    <w:rsid w:val="005F7F19"/>
    <w:rsid w:val="00602B38"/>
    <w:rsid w:val="00603BA9"/>
    <w:rsid w:val="006048E1"/>
    <w:rsid w:val="00606221"/>
    <w:rsid w:val="00606626"/>
    <w:rsid w:val="00606A5D"/>
    <w:rsid w:val="006079DA"/>
    <w:rsid w:val="006100A9"/>
    <w:rsid w:val="0061033E"/>
    <w:rsid w:val="006103E9"/>
    <w:rsid w:val="00610818"/>
    <w:rsid w:val="00613FEC"/>
    <w:rsid w:val="006157DF"/>
    <w:rsid w:val="00616E97"/>
    <w:rsid w:val="00617DA9"/>
    <w:rsid w:val="006217A1"/>
    <w:rsid w:val="006218CA"/>
    <w:rsid w:val="0062244D"/>
    <w:rsid w:val="006244A9"/>
    <w:rsid w:val="00624FDF"/>
    <w:rsid w:val="00625FFB"/>
    <w:rsid w:val="00630C13"/>
    <w:rsid w:val="0063319B"/>
    <w:rsid w:val="00634508"/>
    <w:rsid w:val="00635038"/>
    <w:rsid w:val="00635D02"/>
    <w:rsid w:val="0063648D"/>
    <w:rsid w:val="00641A44"/>
    <w:rsid w:val="006437D7"/>
    <w:rsid w:val="00643A8D"/>
    <w:rsid w:val="00645976"/>
    <w:rsid w:val="00646CC2"/>
    <w:rsid w:val="00651F49"/>
    <w:rsid w:val="00652946"/>
    <w:rsid w:val="00653981"/>
    <w:rsid w:val="00653FD5"/>
    <w:rsid w:val="0065422C"/>
    <w:rsid w:val="00655820"/>
    <w:rsid w:val="0065693F"/>
    <w:rsid w:val="00657A4D"/>
    <w:rsid w:val="00657B1A"/>
    <w:rsid w:val="0066062F"/>
    <w:rsid w:val="00661B69"/>
    <w:rsid w:val="00664C1E"/>
    <w:rsid w:val="0067078F"/>
    <w:rsid w:val="00670867"/>
    <w:rsid w:val="00671534"/>
    <w:rsid w:val="0067161A"/>
    <w:rsid w:val="006721C9"/>
    <w:rsid w:val="006747E2"/>
    <w:rsid w:val="00683497"/>
    <w:rsid w:val="006853D5"/>
    <w:rsid w:val="006927DF"/>
    <w:rsid w:val="00696E99"/>
    <w:rsid w:val="00697256"/>
    <w:rsid w:val="00697E6D"/>
    <w:rsid w:val="006A0F26"/>
    <w:rsid w:val="006A11A6"/>
    <w:rsid w:val="006A12A3"/>
    <w:rsid w:val="006A19E1"/>
    <w:rsid w:val="006A2D56"/>
    <w:rsid w:val="006A7A4A"/>
    <w:rsid w:val="006B3159"/>
    <w:rsid w:val="006B3BB6"/>
    <w:rsid w:val="006B4715"/>
    <w:rsid w:val="006B756C"/>
    <w:rsid w:val="006B771A"/>
    <w:rsid w:val="006C2C98"/>
    <w:rsid w:val="006C517B"/>
    <w:rsid w:val="006C55B7"/>
    <w:rsid w:val="006C7425"/>
    <w:rsid w:val="006D19AB"/>
    <w:rsid w:val="006D1F1C"/>
    <w:rsid w:val="006D2FE2"/>
    <w:rsid w:val="006D336C"/>
    <w:rsid w:val="006D4FA9"/>
    <w:rsid w:val="006E047E"/>
    <w:rsid w:val="006E066E"/>
    <w:rsid w:val="006E08A6"/>
    <w:rsid w:val="006E0AA4"/>
    <w:rsid w:val="006E2F40"/>
    <w:rsid w:val="006E38E1"/>
    <w:rsid w:val="006E4316"/>
    <w:rsid w:val="006E465F"/>
    <w:rsid w:val="006E703C"/>
    <w:rsid w:val="006E7934"/>
    <w:rsid w:val="006E7A49"/>
    <w:rsid w:val="006F183F"/>
    <w:rsid w:val="006F43AF"/>
    <w:rsid w:val="00700485"/>
    <w:rsid w:val="007018B9"/>
    <w:rsid w:val="00703896"/>
    <w:rsid w:val="00704192"/>
    <w:rsid w:val="00705180"/>
    <w:rsid w:val="007066EA"/>
    <w:rsid w:val="007070F2"/>
    <w:rsid w:val="00710F0F"/>
    <w:rsid w:val="007114FA"/>
    <w:rsid w:val="00713320"/>
    <w:rsid w:val="0071437D"/>
    <w:rsid w:val="00715030"/>
    <w:rsid w:val="00717F95"/>
    <w:rsid w:val="00720FFA"/>
    <w:rsid w:val="00721F24"/>
    <w:rsid w:val="007226BE"/>
    <w:rsid w:val="00723708"/>
    <w:rsid w:val="00724436"/>
    <w:rsid w:val="0072524C"/>
    <w:rsid w:val="007260FA"/>
    <w:rsid w:val="00730C97"/>
    <w:rsid w:val="00730E88"/>
    <w:rsid w:val="0073274D"/>
    <w:rsid w:val="00733AB3"/>
    <w:rsid w:val="007356CC"/>
    <w:rsid w:val="007374CA"/>
    <w:rsid w:val="00737AB3"/>
    <w:rsid w:val="00737F69"/>
    <w:rsid w:val="00740179"/>
    <w:rsid w:val="00740D73"/>
    <w:rsid w:val="007449FC"/>
    <w:rsid w:val="00745398"/>
    <w:rsid w:val="0074792B"/>
    <w:rsid w:val="007516B6"/>
    <w:rsid w:val="007519EC"/>
    <w:rsid w:val="00753A2F"/>
    <w:rsid w:val="007542C8"/>
    <w:rsid w:val="007546F8"/>
    <w:rsid w:val="00754CA7"/>
    <w:rsid w:val="00755ACF"/>
    <w:rsid w:val="0076071E"/>
    <w:rsid w:val="00761440"/>
    <w:rsid w:val="00761CCF"/>
    <w:rsid w:val="0076350F"/>
    <w:rsid w:val="00763D18"/>
    <w:rsid w:val="00764AC8"/>
    <w:rsid w:val="007650DA"/>
    <w:rsid w:val="00767AC1"/>
    <w:rsid w:val="00770733"/>
    <w:rsid w:val="00771BE7"/>
    <w:rsid w:val="00771E4A"/>
    <w:rsid w:val="00775E96"/>
    <w:rsid w:val="0078286E"/>
    <w:rsid w:val="00782FD3"/>
    <w:rsid w:val="00784797"/>
    <w:rsid w:val="00796662"/>
    <w:rsid w:val="00797E30"/>
    <w:rsid w:val="007A1B9A"/>
    <w:rsid w:val="007A1EE6"/>
    <w:rsid w:val="007A211F"/>
    <w:rsid w:val="007A4BD0"/>
    <w:rsid w:val="007A62D6"/>
    <w:rsid w:val="007A63FC"/>
    <w:rsid w:val="007A7450"/>
    <w:rsid w:val="007A7B40"/>
    <w:rsid w:val="007B15C3"/>
    <w:rsid w:val="007B1668"/>
    <w:rsid w:val="007B1FE1"/>
    <w:rsid w:val="007B272D"/>
    <w:rsid w:val="007B5088"/>
    <w:rsid w:val="007B55DF"/>
    <w:rsid w:val="007B679A"/>
    <w:rsid w:val="007B712A"/>
    <w:rsid w:val="007B719B"/>
    <w:rsid w:val="007C0752"/>
    <w:rsid w:val="007C0788"/>
    <w:rsid w:val="007C2B70"/>
    <w:rsid w:val="007C34E4"/>
    <w:rsid w:val="007C40D3"/>
    <w:rsid w:val="007C51AC"/>
    <w:rsid w:val="007C52DD"/>
    <w:rsid w:val="007D0BC6"/>
    <w:rsid w:val="007D0F06"/>
    <w:rsid w:val="007D1650"/>
    <w:rsid w:val="007D1CF6"/>
    <w:rsid w:val="007D2EE9"/>
    <w:rsid w:val="007D3285"/>
    <w:rsid w:val="007D44B2"/>
    <w:rsid w:val="007D4B9F"/>
    <w:rsid w:val="007D5169"/>
    <w:rsid w:val="007D54F0"/>
    <w:rsid w:val="007D582D"/>
    <w:rsid w:val="007D5956"/>
    <w:rsid w:val="007D5BC5"/>
    <w:rsid w:val="007D6A96"/>
    <w:rsid w:val="007D6E4E"/>
    <w:rsid w:val="007E1B7B"/>
    <w:rsid w:val="007E45CA"/>
    <w:rsid w:val="007E4E9F"/>
    <w:rsid w:val="007E5136"/>
    <w:rsid w:val="007E7DA5"/>
    <w:rsid w:val="007F0B50"/>
    <w:rsid w:val="007F2244"/>
    <w:rsid w:val="007F3DBB"/>
    <w:rsid w:val="007F4A19"/>
    <w:rsid w:val="00800C2F"/>
    <w:rsid w:val="008017CE"/>
    <w:rsid w:val="00803940"/>
    <w:rsid w:val="00804A4D"/>
    <w:rsid w:val="00804C07"/>
    <w:rsid w:val="008052CF"/>
    <w:rsid w:val="00805464"/>
    <w:rsid w:val="00806E04"/>
    <w:rsid w:val="00810161"/>
    <w:rsid w:val="00811329"/>
    <w:rsid w:val="00812B9C"/>
    <w:rsid w:val="008131CF"/>
    <w:rsid w:val="00813FEB"/>
    <w:rsid w:val="00814FED"/>
    <w:rsid w:val="00816AF7"/>
    <w:rsid w:val="00817185"/>
    <w:rsid w:val="008214D8"/>
    <w:rsid w:val="00822B22"/>
    <w:rsid w:val="008236CF"/>
    <w:rsid w:val="0082388D"/>
    <w:rsid w:val="00823CA8"/>
    <w:rsid w:val="00831B4B"/>
    <w:rsid w:val="00832099"/>
    <w:rsid w:val="00833527"/>
    <w:rsid w:val="00834C95"/>
    <w:rsid w:val="00834EB4"/>
    <w:rsid w:val="00835DD3"/>
    <w:rsid w:val="008364B8"/>
    <w:rsid w:val="00837852"/>
    <w:rsid w:val="008403BB"/>
    <w:rsid w:val="0084062B"/>
    <w:rsid w:val="0084144F"/>
    <w:rsid w:val="00841D4C"/>
    <w:rsid w:val="00841F58"/>
    <w:rsid w:val="0084219E"/>
    <w:rsid w:val="00843F39"/>
    <w:rsid w:val="00845769"/>
    <w:rsid w:val="00846CCB"/>
    <w:rsid w:val="008473E1"/>
    <w:rsid w:val="0085006A"/>
    <w:rsid w:val="00852D9F"/>
    <w:rsid w:val="00852EA1"/>
    <w:rsid w:val="00854DAA"/>
    <w:rsid w:val="008567BF"/>
    <w:rsid w:val="0086107D"/>
    <w:rsid w:val="00863F79"/>
    <w:rsid w:val="008664E0"/>
    <w:rsid w:val="00866691"/>
    <w:rsid w:val="00867E13"/>
    <w:rsid w:val="0087010F"/>
    <w:rsid w:val="00870D20"/>
    <w:rsid w:val="00871584"/>
    <w:rsid w:val="008716C0"/>
    <w:rsid w:val="00871BF9"/>
    <w:rsid w:val="00872196"/>
    <w:rsid w:val="0087259C"/>
    <w:rsid w:val="00872E7D"/>
    <w:rsid w:val="00874F64"/>
    <w:rsid w:val="00877551"/>
    <w:rsid w:val="00877749"/>
    <w:rsid w:val="00882E34"/>
    <w:rsid w:val="00884049"/>
    <w:rsid w:val="008853E1"/>
    <w:rsid w:val="0088693B"/>
    <w:rsid w:val="00890657"/>
    <w:rsid w:val="0089165D"/>
    <w:rsid w:val="00891FAD"/>
    <w:rsid w:val="00892F99"/>
    <w:rsid w:val="00893790"/>
    <w:rsid w:val="00894424"/>
    <w:rsid w:val="0089482C"/>
    <w:rsid w:val="0089620A"/>
    <w:rsid w:val="008964B5"/>
    <w:rsid w:val="008A0DE8"/>
    <w:rsid w:val="008A20A9"/>
    <w:rsid w:val="008A2711"/>
    <w:rsid w:val="008A309C"/>
    <w:rsid w:val="008A70DD"/>
    <w:rsid w:val="008B1177"/>
    <w:rsid w:val="008B19B5"/>
    <w:rsid w:val="008B79B5"/>
    <w:rsid w:val="008C1AF9"/>
    <w:rsid w:val="008C4A8C"/>
    <w:rsid w:val="008C6B08"/>
    <w:rsid w:val="008D0997"/>
    <w:rsid w:val="008D2861"/>
    <w:rsid w:val="008D546E"/>
    <w:rsid w:val="008D5F36"/>
    <w:rsid w:val="008D7014"/>
    <w:rsid w:val="008D7203"/>
    <w:rsid w:val="008D748D"/>
    <w:rsid w:val="008D7943"/>
    <w:rsid w:val="008E1852"/>
    <w:rsid w:val="008E1BC0"/>
    <w:rsid w:val="008E26AC"/>
    <w:rsid w:val="008E2D52"/>
    <w:rsid w:val="008E4457"/>
    <w:rsid w:val="008E5227"/>
    <w:rsid w:val="008E698E"/>
    <w:rsid w:val="008E6A40"/>
    <w:rsid w:val="008F149D"/>
    <w:rsid w:val="008F20DB"/>
    <w:rsid w:val="008F2112"/>
    <w:rsid w:val="008F2463"/>
    <w:rsid w:val="008F24B5"/>
    <w:rsid w:val="008F490D"/>
    <w:rsid w:val="008F5E47"/>
    <w:rsid w:val="008F68A7"/>
    <w:rsid w:val="008F72F3"/>
    <w:rsid w:val="0090072B"/>
    <w:rsid w:val="00900822"/>
    <w:rsid w:val="00901D4A"/>
    <w:rsid w:val="00903CA0"/>
    <w:rsid w:val="00903FC1"/>
    <w:rsid w:val="00904212"/>
    <w:rsid w:val="00904FC1"/>
    <w:rsid w:val="00905962"/>
    <w:rsid w:val="00905C84"/>
    <w:rsid w:val="00905FA4"/>
    <w:rsid w:val="0091005F"/>
    <w:rsid w:val="009110CC"/>
    <w:rsid w:val="00912613"/>
    <w:rsid w:val="00912F28"/>
    <w:rsid w:val="00913443"/>
    <w:rsid w:val="009147AC"/>
    <w:rsid w:val="00914BD5"/>
    <w:rsid w:val="0091519D"/>
    <w:rsid w:val="00916D64"/>
    <w:rsid w:val="00920E1B"/>
    <w:rsid w:val="00923B33"/>
    <w:rsid w:val="00923B50"/>
    <w:rsid w:val="00923EC4"/>
    <w:rsid w:val="00925B57"/>
    <w:rsid w:val="00926468"/>
    <w:rsid w:val="00926DED"/>
    <w:rsid w:val="00926F6D"/>
    <w:rsid w:val="00931E6C"/>
    <w:rsid w:val="00934A47"/>
    <w:rsid w:val="00936401"/>
    <w:rsid w:val="00940680"/>
    <w:rsid w:val="00940770"/>
    <w:rsid w:val="00940B18"/>
    <w:rsid w:val="00941DBA"/>
    <w:rsid w:val="00942840"/>
    <w:rsid w:val="009437C0"/>
    <w:rsid w:val="00944C9C"/>
    <w:rsid w:val="00945880"/>
    <w:rsid w:val="009475BA"/>
    <w:rsid w:val="00950B4F"/>
    <w:rsid w:val="00951F4A"/>
    <w:rsid w:val="0095338B"/>
    <w:rsid w:val="009549D6"/>
    <w:rsid w:val="00954E96"/>
    <w:rsid w:val="00955D1E"/>
    <w:rsid w:val="009566F9"/>
    <w:rsid w:val="00956821"/>
    <w:rsid w:val="00957A04"/>
    <w:rsid w:val="00964E2E"/>
    <w:rsid w:val="00971AB4"/>
    <w:rsid w:val="009722F2"/>
    <w:rsid w:val="009728B9"/>
    <w:rsid w:val="00972A6E"/>
    <w:rsid w:val="0097437C"/>
    <w:rsid w:val="00974622"/>
    <w:rsid w:val="00975387"/>
    <w:rsid w:val="00976445"/>
    <w:rsid w:val="00977391"/>
    <w:rsid w:val="00980F6C"/>
    <w:rsid w:val="0098179C"/>
    <w:rsid w:val="00982233"/>
    <w:rsid w:val="0098336F"/>
    <w:rsid w:val="00983FA2"/>
    <w:rsid w:val="009840CA"/>
    <w:rsid w:val="0098534A"/>
    <w:rsid w:val="0098705B"/>
    <w:rsid w:val="009875AD"/>
    <w:rsid w:val="00987F86"/>
    <w:rsid w:val="00991164"/>
    <w:rsid w:val="00991385"/>
    <w:rsid w:val="00992595"/>
    <w:rsid w:val="00997969"/>
    <w:rsid w:val="009A3DA9"/>
    <w:rsid w:val="009A470F"/>
    <w:rsid w:val="009A4EEA"/>
    <w:rsid w:val="009A4FE0"/>
    <w:rsid w:val="009A6296"/>
    <w:rsid w:val="009A6B77"/>
    <w:rsid w:val="009A7A7B"/>
    <w:rsid w:val="009A7DF3"/>
    <w:rsid w:val="009B0232"/>
    <w:rsid w:val="009B0430"/>
    <w:rsid w:val="009B0915"/>
    <w:rsid w:val="009B0CED"/>
    <w:rsid w:val="009B1B53"/>
    <w:rsid w:val="009B695E"/>
    <w:rsid w:val="009B700E"/>
    <w:rsid w:val="009C231F"/>
    <w:rsid w:val="009C2641"/>
    <w:rsid w:val="009C2EE1"/>
    <w:rsid w:val="009C3696"/>
    <w:rsid w:val="009C3A94"/>
    <w:rsid w:val="009C3B6C"/>
    <w:rsid w:val="009C5154"/>
    <w:rsid w:val="009C7169"/>
    <w:rsid w:val="009D0D49"/>
    <w:rsid w:val="009D240E"/>
    <w:rsid w:val="009D43BB"/>
    <w:rsid w:val="009E1E21"/>
    <w:rsid w:val="009E2E86"/>
    <w:rsid w:val="009E38E7"/>
    <w:rsid w:val="009E39F9"/>
    <w:rsid w:val="009E5D20"/>
    <w:rsid w:val="009E698D"/>
    <w:rsid w:val="009F0EDA"/>
    <w:rsid w:val="009F12C5"/>
    <w:rsid w:val="009F2A3B"/>
    <w:rsid w:val="009F3379"/>
    <w:rsid w:val="009F3C2C"/>
    <w:rsid w:val="009F4DE6"/>
    <w:rsid w:val="009F4E3F"/>
    <w:rsid w:val="009F7256"/>
    <w:rsid w:val="00A002C7"/>
    <w:rsid w:val="00A0174D"/>
    <w:rsid w:val="00A03845"/>
    <w:rsid w:val="00A0390E"/>
    <w:rsid w:val="00A054A5"/>
    <w:rsid w:val="00A1098C"/>
    <w:rsid w:val="00A10FA9"/>
    <w:rsid w:val="00A13B13"/>
    <w:rsid w:val="00A15459"/>
    <w:rsid w:val="00A15A37"/>
    <w:rsid w:val="00A1715F"/>
    <w:rsid w:val="00A206B7"/>
    <w:rsid w:val="00A20724"/>
    <w:rsid w:val="00A21219"/>
    <w:rsid w:val="00A2326E"/>
    <w:rsid w:val="00A25FC9"/>
    <w:rsid w:val="00A3333B"/>
    <w:rsid w:val="00A33F8C"/>
    <w:rsid w:val="00A3659A"/>
    <w:rsid w:val="00A378EA"/>
    <w:rsid w:val="00A43C53"/>
    <w:rsid w:val="00A43D56"/>
    <w:rsid w:val="00A45718"/>
    <w:rsid w:val="00A45AD9"/>
    <w:rsid w:val="00A46704"/>
    <w:rsid w:val="00A46754"/>
    <w:rsid w:val="00A46E6E"/>
    <w:rsid w:val="00A473FF"/>
    <w:rsid w:val="00A50D67"/>
    <w:rsid w:val="00A518EF"/>
    <w:rsid w:val="00A51C43"/>
    <w:rsid w:val="00A5206D"/>
    <w:rsid w:val="00A538FD"/>
    <w:rsid w:val="00A60B46"/>
    <w:rsid w:val="00A61189"/>
    <w:rsid w:val="00A6328E"/>
    <w:rsid w:val="00A658D2"/>
    <w:rsid w:val="00A65BAD"/>
    <w:rsid w:val="00A65C62"/>
    <w:rsid w:val="00A72A93"/>
    <w:rsid w:val="00A77228"/>
    <w:rsid w:val="00A81385"/>
    <w:rsid w:val="00A82FF3"/>
    <w:rsid w:val="00A83919"/>
    <w:rsid w:val="00A8456C"/>
    <w:rsid w:val="00A85EE2"/>
    <w:rsid w:val="00A86CE8"/>
    <w:rsid w:val="00A872CE"/>
    <w:rsid w:val="00A875C7"/>
    <w:rsid w:val="00A90CD8"/>
    <w:rsid w:val="00A91A80"/>
    <w:rsid w:val="00A920C0"/>
    <w:rsid w:val="00A92451"/>
    <w:rsid w:val="00A95756"/>
    <w:rsid w:val="00A9669E"/>
    <w:rsid w:val="00AA13EA"/>
    <w:rsid w:val="00AA1530"/>
    <w:rsid w:val="00AA270C"/>
    <w:rsid w:val="00AA2D05"/>
    <w:rsid w:val="00AA5586"/>
    <w:rsid w:val="00AA6BCC"/>
    <w:rsid w:val="00AA6F8A"/>
    <w:rsid w:val="00AA781F"/>
    <w:rsid w:val="00AB0971"/>
    <w:rsid w:val="00AB1044"/>
    <w:rsid w:val="00AB1F57"/>
    <w:rsid w:val="00AB422B"/>
    <w:rsid w:val="00AB4F94"/>
    <w:rsid w:val="00AB63D9"/>
    <w:rsid w:val="00AB6521"/>
    <w:rsid w:val="00AD2BE1"/>
    <w:rsid w:val="00AD4D38"/>
    <w:rsid w:val="00AD744A"/>
    <w:rsid w:val="00AE009E"/>
    <w:rsid w:val="00AE0E8C"/>
    <w:rsid w:val="00AE26EF"/>
    <w:rsid w:val="00AE55F5"/>
    <w:rsid w:val="00AE6A4C"/>
    <w:rsid w:val="00AF0E1A"/>
    <w:rsid w:val="00AF144E"/>
    <w:rsid w:val="00AF2AB5"/>
    <w:rsid w:val="00AF2F7F"/>
    <w:rsid w:val="00AF4610"/>
    <w:rsid w:val="00AF544A"/>
    <w:rsid w:val="00AF61F3"/>
    <w:rsid w:val="00AF7924"/>
    <w:rsid w:val="00B02977"/>
    <w:rsid w:val="00B05853"/>
    <w:rsid w:val="00B106AF"/>
    <w:rsid w:val="00B10F97"/>
    <w:rsid w:val="00B12141"/>
    <w:rsid w:val="00B149C6"/>
    <w:rsid w:val="00B17A04"/>
    <w:rsid w:val="00B210CD"/>
    <w:rsid w:val="00B2247D"/>
    <w:rsid w:val="00B22AF7"/>
    <w:rsid w:val="00B24E80"/>
    <w:rsid w:val="00B26D16"/>
    <w:rsid w:val="00B312A6"/>
    <w:rsid w:val="00B31E2E"/>
    <w:rsid w:val="00B32168"/>
    <w:rsid w:val="00B34CA0"/>
    <w:rsid w:val="00B3612C"/>
    <w:rsid w:val="00B407E4"/>
    <w:rsid w:val="00B40F4F"/>
    <w:rsid w:val="00B42247"/>
    <w:rsid w:val="00B4293C"/>
    <w:rsid w:val="00B42B0B"/>
    <w:rsid w:val="00B46FCC"/>
    <w:rsid w:val="00B500B2"/>
    <w:rsid w:val="00B5019D"/>
    <w:rsid w:val="00B50357"/>
    <w:rsid w:val="00B5132A"/>
    <w:rsid w:val="00B5296E"/>
    <w:rsid w:val="00B5348E"/>
    <w:rsid w:val="00B53CF6"/>
    <w:rsid w:val="00B53E88"/>
    <w:rsid w:val="00B6002E"/>
    <w:rsid w:val="00B634EF"/>
    <w:rsid w:val="00B65891"/>
    <w:rsid w:val="00B65FC6"/>
    <w:rsid w:val="00B6625A"/>
    <w:rsid w:val="00B66F17"/>
    <w:rsid w:val="00B67E60"/>
    <w:rsid w:val="00B7091E"/>
    <w:rsid w:val="00B71B4E"/>
    <w:rsid w:val="00B73D20"/>
    <w:rsid w:val="00B74E8B"/>
    <w:rsid w:val="00B761DC"/>
    <w:rsid w:val="00B761FA"/>
    <w:rsid w:val="00B7634D"/>
    <w:rsid w:val="00B81402"/>
    <w:rsid w:val="00B81835"/>
    <w:rsid w:val="00B838B9"/>
    <w:rsid w:val="00B859D0"/>
    <w:rsid w:val="00B8621D"/>
    <w:rsid w:val="00B87F22"/>
    <w:rsid w:val="00B9112D"/>
    <w:rsid w:val="00B92281"/>
    <w:rsid w:val="00B936FD"/>
    <w:rsid w:val="00B943FF"/>
    <w:rsid w:val="00B97B68"/>
    <w:rsid w:val="00B97DD0"/>
    <w:rsid w:val="00BA1640"/>
    <w:rsid w:val="00BA1A12"/>
    <w:rsid w:val="00BA1F8D"/>
    <w:rsid w:val="00BA2E44"/>
    <w:rsid w:val="00BA55C5"/>
    <w:rsid w:val="00BB06BB"/>
    <w:rsid w:val="00BB0D65"/>
    <w:rsid w:val="00BB4399"/>
    <w:rsid w:val="00BB4D00"/>
    <w:rsid w:val="00BB5703"/>
    <w:rsid w:val="00BB60CA"/>
    <w:rsid w:val="00BB6111"/>
    <w:rsid w:val="00BB787C"/>
    <w:rsid w:val="00BC17A9"/>
    <w:rsid w:val="00BC1FA2"/>
    <w:rsid w:val="00BC27C8"/>
    <w:rsid w:val="00BC3894"/>
    <w:rsid w:val="00BC6DE1"/>
    <w:rsid w:val="00BC7CD1"/>
    <w:rsid w:val="00BC7F35"/>
    <w:rsid w:val="00BD1301"/>
    <w:rsid w:val="00BD2BD6"/>
    <w:rsid w:val="00BD4360"/>
    <w:rsid w:val="00BD48B3"/>
    <w:rsid w:val="00BD6497"/>
    <w:rsid w:val="00BD6F2F"/>
    <w:rsid w:val="00BE1E25"/>
    <w:rsid w:val="00BE20DC"/>
    <w:rsid w:val="00BE5CAF"/>
    <w:rsid w:val="00BE7A18"/>
    <w:rsid w:val="00BF4174"/>
    <w:rsid w:val="00BF4EDA"/>
    <w:rsid w:val="00BF5F5A"/>
    <w:rsid w:val="00BF7C4C"/>
    <w:rsid w:val="00C007C1"/>
    <w:rsid w:val="00C02E3F"/>
    <w:rsid w:val="00C03DCC"/>
    <w:rsid w:val="00C05B0F"/>
    <w:rsid w:val="00C0623A"/>
    <w:rsid w:val="00C0764F"/>
    <w:rsid w:val="00C10194"/>
    <w:rsid w:val="00C10D2C"/>
    <w:rsid w:val="00C10F12"/>
    <w:rsid w:val="00C11728"/>
    <w:rsid w:val="00C118FA"/>
    <w:rsid w:val="00C11D76"/>
    <w:rsid w:val="00C1326E"/>
    <w:rsid w:val="00C1352E"/>
    <w:rsid w:val="00C13EE7"/>
    <w:rsid w:val="00C15B02"/>
    <w:rsid w:val="00C167C4"/>
    <w:rsid w:val="00C204DE"/>
    <w:rsid w:val="00C24EE5"/>
    <w:rsid w:val="00C27AED"/>
    <w:rsid w:val="00C31341"/>
    <w:rsid w:val="00C4454F"/>
    <w:rsid w:val="00C4460A"/>
    <w:rsid w:val="00C45106"/>
    <w:rsid w:val="00C451BA"/>
    <w:rsid w:val="00C45663"/>
    <w:rsid w:val="00C464E6"/>
    <w:rsid w:val="00C466FE"/>
    <w:rsid w:val="00C47778"/>
    <w:rsid w:val="00C51BD8"/>
    <w:rsid w:val="00C52D34"/>
    <w:rsid w:val="00C61114"/>
    <w:rsid w:val="00C62AD1"/>
    <w:rsid w:val="00C63261"/>
    <w:rsid w:val="00C63826"/>
    <w:rsid w:val="00C702F6"/>
    <w:rsid w:val="00C70641"/>
    <w:rsid w:val="00C71896"/>
    <w:rsid w:val="00C72170"/>
    <w:rsid w:val="00C73866"/>
    <w:rsid w:val="00C748F8"/>
    <w:rsid w:val="00C754D3"/>
    <w:rsid w:val="00C76DDF"/>
    <w:rsid w:val="00C7755F"/>
    <w:rsid w:val="00C775B0"/>
    <w:rsid w:val="00C809C2"/>
    <w:rsid w:val="00C833DA"/>
    <w:rsid w:val="00C834F7"/>
    <w:rsid w:val="00C835C4"/>
    <w:rsid w:val="00C83E88"/>
    <w:rsid w:val="00C84DC3"/>
    <w:rsid w:val="00C87D45"/>
    <w:rsid w:val="00C87DC3"/>
    <w:rsid w:val="00C9063F"/>
    <w:rsid w:val="00C91547"/>
    <w:rsid w:val="00C93231"/>
    <w:rsid w:val="00C94172"/>
    <w:rsid w:val="00C941CA"/>
    <w:rsid w:val="00C966D2"/>
    <w:rsid w:val="00C9695A"/>
    <w:rsid w:val="00C96D17"/>
    <w:rsid w:val="00C9718E"/>
    <w:rsid w:val="00CA07E7"/>
    <w:rsid w:val="00CA2459"/>
    <w:rsid w:val="00CA593D"/>
    <w:rsid w:val="00CA5CBA"/>
    <w:rsid w:val="00CB0111"/>
    <w:rsid w:val="00CB19C2"/>
    <w:rsid w:val="00CB3AC1"/>
    <w:rsid w:val="00CB3F28"/>
    <w:rsid w:val="00CB4BBA"/>
    <w:rsid w:val="00CB6616"/>
    <w:rsid w:val="00CC36DE"/>
    <w:rsid w:val="00CC42FE"/>
    <w:rsid w:val="00CC467D"/>
    <w:rsid w:val="00CC4D2B"/>
    <w:rsid w:val="00CC5E91"/>
    <w:rsid w:val="00CC6045"/>
    <w:rsid w:val="00CC70B7"/>
    <w:rsid w:val="00CC7E3F"/>
    <w:rsid w:val="00CD0ACC"/>
    <w:rsid w:val="00CD1677"/>
    <w:rsid w:val="00CD31BB"/>
    <w:rsid w:val="00CD4955"/>
    <w:rsid w:val="00CD6D30"/>
    <w:rsid w:val="00CE228B"/>
    <w:rsid w:val="00CF1B5D"/>
    <w:rsid w:val="00CF3FF0"/>
    <w:rsid w:val="00CF556A"/>
    <w:rsid w:val="00CF5D7B"/>
    <w:rsid w:val="00CF7C6E"/>
    <w:rsid w:val="00D01410"/>
    <w:rsid w:val="00D03DC8"/>
    <w:rsid w:val="00D04072"/>
    <w:rsid w:val="00D04FD6"/>
    <w:rsid w:val="00D05633"/>
    <w:rsid w:val="00D06164"/>
    <w:rsid w:val="00D064D1"/>
    <w:rsid w:val="00D06D65"/>
    <w:rsid w:val="00D07D08"/>
    <w:rsid w:val="00D1115F"/>
    <w:rsid w:val="00D116B2"/>
    <w:rsid w:val="00D14647"/>
    <w:rsid w:val="00D162A0"/>
    <w:rsid w:val="00D16384"/>
    <w:rsid w:val="00D16E00"/>
    <w:rsid w:val="00D2056D"/>
    <w:rsid w:val="00D21755"/>
    <w:rsid w:val="00D2261C"/>
    <w:rsid w:val="00D2337A"/>
    <w:rsid w:val="00D23C9F"/>
    <w:rsid w:val="00D2407C"/>
    <w:rsid w:val="00D273A2"/>
    <w:rsid w:val="00D30632"/>
    <w:rsid w:val="00D311E0"/>
    <w:rsid w:val="00D31549"/>
    <w:rsid w:val="00D32DC8"/>
    <w:rsid w:val="00D330EE"/>
    <w:rsid w:val="00D33F3B"/>
    <w:rsid w:val="00D36F09"/>
    <w:rsid w:val="00D4004F"/>
    <w:rsid w:val="00D427D4"/>
    <w:rsid w:val="00D42C38"/>
    <w:rsid w:val="00D45E69"/>
    <w:rsid w:val="00D47F6F"/>
    <w:rsid w:val="00D50262"/>
    <w:rsid w:val="00D551DF"/>
    <w:rsid w:val="00D5571C"/>
    <w:rsid w:val="00D56430"/>
    <w:rsid w:val="00D566AD"/>
    <w:rsid w:val="00D57424"/>
    <w:rsid w:val="00D57AE3"/>
    <w:rsid w:val="00D61BD7"/>
    <w:rsid w:val="00D64F3A"/>
    <w:rsid w:val="00D72FEC"/>
    <w:rsid w:val="00D734B2"/>
    <w:rsid w:val="00D74FB3"/>
    <w:rsid w:val="00D81E73"/>
    <w:rsid w:val="00D81E8D"/>
    <w:rsid w:val="00D85334"/>
    <w:rsid w:val="00D8623A"/>
    <w:rsid w:val="00D86467"/>
    <w:rsid w:val="00D86E12"/>
    <w:rsid w:val="00D87099"/>
    <w:rsid w:val="00D87878"/>
    <w:rsid w:val="00D905D5"/>
    <w:rsid w:val="00D93767"/>
    <w:rsid w:val="00D96564"/>
    <w:rsid w:val="00DA1D14"/>
    <w:rsid w:val="00DA4264"/>
    <w:rsid w:val="00DA534C"/>
    <w:rsid w:val="00DA6908"/>
    <w:rsid w:val="00DB19C7"/>
    <w:rsid w:val="00DB646D"/>
    <w:rsid w:val="00DB7801"/>
    <w:rsid w:val="00DC07B7"/>
    <w:rsid w:val="00DC240F"/>
    <w:rsid w:val="00DC39E0"/>
    <w:rsid w:val="00DC68C6"/>
    <w:rsid w:val="00DC7396"/>
    <w:rsid w:val="00DC7A60"/>
    <w:rsid w:val="00DD10A1"/>
    <w:rsid w:val="00DD455B"/>
    <w:rsid w:val="00DD532E"/>
    <w:rsid w:val="00DD5D3C"/>
    <w:rsid w:val="00DE2E99"/>
    <w:rsid w:val="00DE32DF"/>
    <w:rsid w:val="00DE45D8"/>
    <w:rsid w:val="00DE74E3"/>
    <w:rsid w:val="00DE79DA"/>
    <w:rsid w:val="00DF2D30"/>
    <w:rsid w:val="00DF32DE"/>
    <w:rsid w:val="00DF3E36"/>
    <w:rsid w:val="00DF4779"/>
    <w:rsid w:val="00DF5A22"/>
    <w:rsid w:val="00DF64E5"/>
    <w:rsid w:val="00DF67CD"/>
    <w:rsid w:val="00DF76CF"/>
    <w:rsid w:val="00E00514"/>
    <w:rsid w:val="00E02BB7"/>
    <w:rsid w:val="00E02F6C"/>
    <w:rsid w:val="00E03A96"/>
    <w:rsid w:val="00E03B30"/>
    <w:rsid w:val="00E06404"/>
    <w:rsid w:val="00E07714"/>
    <w:rsid w:val="00E13360"/>
    <w:rsid w:val="00E137CF"/>
    <w:rsid w:val="00E13CD6"/>
    <w:rsid w:val="00E15CFD"/>
    <w:rsid w:val="00E2171C"/>
    <w:rsid w:val="00E21C9C"/>
    <w:rsid w:val="00E21D3D"/>
    <w:rsid w:val="00E22AF1"/>
    <w:rsid w:val="00E24BE3"/>
    <w:rsid w:val="00E24EC1"/>
    <w:rsid w:val="00E252E8"/>
    <w:rsid w:val="00E25AED"/>
    <w:rsid w:val="00E2700F"/>
    <w:rsid w:val="00E27C4D"/>
    <w:rsid w:val="00E27FA0"/>
    <w:rsid w:val="00E30811"/>
    <w:rsid w:val="00E32CB7"/>
    <w:rsid w:val="00E33BCF"/>
    <w:rsid w:val="00E353DA"/>
    <w:rsid w:val="00E37010"/>
    <w:rsid w:val="00E37B67"/>
    <w:rsid w:val="00E40237"/>
    <w:rsid w:val="00E44FB1"/>
    <w:rsid w:val="00E45272"/>
    <w:rsid w:val="00E47788"/>
    <w:rsid w:val="00E47BF0"/>
    <w:rsid w:val="00E509C3"/>
    <w:rsid w:val="00E524DD"/>
    <w:rsid w:val="00E52A76"/>
    <w:rsid w:val="00E577D4"/>
    <w:rsid w:val="00E6091C"/>
    <w:rsid w:val="00E60EB2"/>
    <w:rsid w:val="00E61365"/>
    <w:rsid w:val="00E61D4F"/>
    <w:rsid w:val="00E625D2"/>
    <w:rsid w:val="00E63201"/>
    <w:rsid w:val="00E63882"/>
    <w:rsid w:val="00E63B8F"/>
    <w:rsid w:val="00E63B9E"/>
    <w:rsid w:val="00E65494"/>
    <w:rsid w:val="00E65C6D"/>
    <w:rsid w:val="00E70466"/>
    <w:rsid w:val="00E70B4F"/>
    <w:rsid w:val="00E71AE6"/>
    <w:rsid w:val="00E7228B"/>
    <w:rsid w:val="00E739BC"/>
    <w:rsid w:val="00E739C4"/>
    <w:rsid w:val="00E80930"/>
    <w:rsid w:val="00E835FD"/>
    <w:rsid w:val="00E84291"/>
    <w:rsid w:val="00E84E17"/>
    <w:rsid w:val="00E85282"/>
    <w:rsid w:val="00E85690"/>
    <w:rsid w:val="00E86504"/>
    <w:rsid w:val="00E87CEA"/>
    <w:rsid w:val="00E900F0"/>
    <w:rsid w:val="00E93C37"/>
    <w:rsid w:val="00E95FB3"/>
    <w:rsid w:val="00E961F9"/>
    <w:rsid w:val="00EA00C4"/>
    <w:rsid w:val="00EA0103"/>
    <w:rsid w:val="00EA0BF8"/>
    <w:rsid w:val="00EA3F78"/>
    <w:rsid w:val="00EB025C"/>
    <w:rsid w:val="00EB149D"/>
    <w:rsid w:val="00EB1D43"/>
    <w:rsid w:val="00EB2EB2"/>
    <w:rsid w:val="00EB44C9"/>
    <w:rsid w:val="00EB5079"/>
    <w:rsid w:val="00EB6D52"/>
    <w:rsid w:val="00EB6E09"/>
    <w:rsid w:val="00EC7696"/>
    <w:rsid w:val="00ED0768"/>
    <w:rsid w:val="00ED1A9C"/>
    <w:rsid w:val="00ED233B"/>
    <w:rsid w:val="00ED28A8"/>
    <w:rsid w:val="00ED7CA8"/>
    <w:rsid w:val="00EE06BA"/>
    <w:rsid w:val="00EE2403"/>
    <w:rsid w:val="00EE3980"/>
    <w:rsid w:val="00EE45A8"/>
    <w:rsid w:val="00EE4ECA"/>
    <w:rsid w:val="00EE6F5A"/>
    <w:rsid w:val="00EE7BDE"/>
    <w:rsid w:val="00EE7D23"/>
    <w:rsid w:val="00EF3575"/>
    <w:rsid w:val="00EF3FB8"/>
    <w:rsid w:val="00EF57FE"/>
    <w:rsid w:val="00EF64AA"/>
    <w:rsid w:val="00EF7388"/>
    <w:rsid w:val="00EF7717"/>
    <w:rsid w:val="00F01D12"/>
    <w:rsid w:val="00F01D1B"/>
    <w:rsid w:val="00F031D1"/>
    <w:rsid w:val="00F03295"/>
    <w:rsid w:val="00F036B5"/>
    <w:rsid w:val="00F0732D"/>
    <w:rsid w:val="00F0768E"/>
    <w:rsid w:val="00F10AC1"/>
    <w:rsid w:val="00F11180"/>
    <w:rsid w:val="00F122E1"/>
    <w:rsid w:val="00F12DC3"/>
    <w:rsid w:val="00F14FEF"/>
    <w:rsid w:val="00F16105"/>
    <w:rsid w:val="00F221C3"/>
    <w:rsid w:val="00F221C6"/>
    <w:rsid w:val="00F22949"/>
    <w:rsid w:val="00F25CF8"/>
    <w:rsid w:val="00F30B85"/>
    <w:rsid w:val="00F31080"/>
    <w:rsid w:val="00F31F5F"/>
    <w:rsid w:val="00F33CDF"/>
    <w:rsid w:val="00F346C5"/>
    <w:rsid w:val="00F353FC"/>
    <w:rsid w:val="00F37071"/>
    <w:rsid w:val="00F37B15"/>
    <w:rsid w:val="00F42D61"/>
    <w:rsid w:val="00F44811"/>
    <w:rsid w:val="00F453D7"/>
    <w:rsid w:val="00F45E09"/>
    <w:rsid w:val="00F47173"/>
    <w:rsid w:val="00F50442"/>
    <w:rsid w:val="00F51D66"/>
    <w:rsid w:val="00F528FB"/>
    <w:rsid w:val="00F55BCF"/>
    <w:rsid w:val="00F57E90"/>
    <w:rsid w:val="00F606F0"/>
    <w:rsid w:val="00F60982"/>
    <w:rsid w:val="00F61FB5"/>
    <w:rsid w:val="00F62218"/>
    <w:rsid w:val="00F62562"/>
    <w:rsid w:val="00F63917"/>
    <w:rsid w:val="00F63E3E"/>
    <w:rsid w:val="00F64BF0"/>
    <w:rsid w:val="00F656EA"/>
    <w:rsid w:val="00F65B24"/>
    <w:rsid w:val="00F67534"/>
    <w:rsid w:val="00F74185"/>
    <w:rsid w:val="00F757D1"/>
    <w:rsid w:val="00F761B1"/>
    <w:rsid w:val="00F76204"/>
    <w:rsid w:val="00F76871"/>
    <w:rsid w:val="00F7736E"/>
    <w:rsid w:val="00F774E8"/>
    <w:rsid w:val="00F8034A"/>
    <w:rsid w:val="00F81784"/>
    <w:rsid w:val="00F82A2C"/>
    <w:rsid w:val="00F837E8"/>
    <w:rsid w:val="00F83C23"/>
    <w:rsid w:val="00F83DDD"/>
    <w:rsid w:val="00F85DC1"/>
    <w:rsid w:val="00F929CD"/>
    <w:rsid w:val="00F930F1"/>
    <w:rsid w:val="00F9450D"/>
    <w:rsid w:val="00F94FD4"/>
    <w:rsid w:val="00F9592E"/>
    <w:rsid w:val="00F95A8A"/>
    <w:rsid w:val="00F9611B"/>
    <w:rsid w:val="00F96236"/>
    <w:rsid w:val="00FA0ACE"/>
    <w:rsid w:val="00FA14FB"/>
    <w:rsid w:val="00FA17B4"/>
    <w:rsid w:val="00FA18A0"/>
    <w:rsid w:val="00FA1AA6"/>
    <w:rsid w:val="00FA1E3D"/>
    <w:rsid w:val="00FA2A34"/>
    <w:rsid w:val="00FA3FD5"/>
    <w:rsid w:val="00FB11E5"/>
    <w:rsid w:val="00FB1673"/>
    <w:rsid w:val="00FB1C7D"/>
    <w:rsid w:val="00FB1F29"/>
    <w:rsid w:val="00FB4ED9"/>
    <w:rsid w:val="00FB6B05"/>
    <w:rsid w:val="00FB761F"/>
    <w:rsid w:val="00FB7D20"/>
    <w:rsid w:val="00FC08AA"/>
    <w:rsid w:val="00FC16B8"/>
    <w:rsid w:val="00FC1AF4"/>
    <w:rsid w:val="00FC4EC3"/>
    <w:rsid w:val="00FC4F2D"/>
    <w:rsid w:val="00FC7C33"/>
    <w:rsid w:val="00FD2DD0"/>
    <w:rsid w:val="00FD4CA6"/>
    <w:rsid w:val="00FD531B"/>
    <w:rsid w:val="00FD71B0"/>
    <w:rsid w:val="00FD7365"/>
    <w:rsid w:val="00FD7F1A"/>
    <w:rsid w:val="00FE0FD0"/>
    <w:rsid w:val="00FE195B"/>
    <w:rsid w:val="00FE44B6"/>
    <w:rsid w:val="00FE5936"/>
    <w:rsid w:val="00FF3DAC"/>
    <w:rsid w:val="00FF5BC7"/>
    <w:rsid w:val="00FF77B2"/>
    <w:rsid w:val="00FF7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72A9B45-3F14-48C3-A2E8-22350080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8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7F12"/>
    <w:pPr>
      <w:ind w:left="720"/>
    </w:pPr>
    <w:rPr>
      <w:lang w:val="uk-UA"/>
    </w:rPr>
  </w:style>
  <w:style w:type="paragraph" w:styleId="a4">
    <w:name w:val="Balloon Text"/>
    <w:basedOn w:val="a"/>
    <w:link w:val="a5"/>
    <w:uiPriority w:val="99"/>
    <w:semiHidden/>
    <w:unhideWhenUsed/>
    <w:rsid w:val="00FC7C3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FC7C33"/>
    <w:rPr>
      <w:rFonts w:ascii="Tahoma" w:hAnsi="Tahoma" w:cs="Tahoma"/>
      <w:sz w:val="16"/>
      <w:szCs w:val="16"/>
      <w:lang w:val="ru-RU" w:eastAsia="ru-RU"/>
    </w:rPr>
  </w:style>
  <w:style w:type="paragraph" w:styleId="a6">
    <w:name w:val="caption"/>
    <w:basedOn w:val="a"/>
    <w:next w:val="a"/>
    <w:unhideWhenUsed/>
    <w:qFormat/>
    <w:locked/>
    <w:rsid w:val="00852D9F"/>
    <w:pPr>
      <w:spacing w:line="240" w:lineRule="auto"/>
    </w:pPr>
    <w:rPr>
      <w:b/>
      <w:bCs/>
      <w:color w:val="4F81BD"/>
      <w:sz w:val="18"/>
      <w:szCs w:val="18"/>
    </w:rPr>
  </w:style>
  <w:style w:type="paragraph" w:styleId="a7">
    <w:name w:val="header"/>
    <w:basedOn w:val="a"/>
    <w:link w:val="a8"/>
    <w:uiPriority w:val="99"/>
    <w:unhideWhenUsed/>
    <w:rsid w:val="00092DC7"/>
    <w:pPr>
      <w:tabs>
        <w:tab w:val="center" w:pos="4677"/>
        <w:tab w:val="right" w:pos="9355"/>
      </w:tabs>
      <w:spacing w:after="0" w:line="240" w:lineRule="auto"/>
    </w:pPr>
  </w:style>
  <w:style w:type="character" w:customStyle="1" w:styleId="a8">
    <w:name w:val="Верхний колонтитул Знак"/>
    <w:link w:val="a7"/>
    <w:uiPriority w:val="99"/>
    <w:rsid w:val="00092DC7"/>
    <w:rPr>
      <w:rFonts w:cs="Calibri"/>
      <w:lang w:val="ru-RU" w:eastAsia="ru-RU"/>
    </w:rPr>
  </w:style>
  <w:style w:type="paragraph" w:styleId="a9">
    <w:name w:val="footer"/>
    <w:basedOn w:val="a"/>
    <w:link w:val="aa"/>
    <w:uiPriority w:val="99"/>
    <w:unhideWhenUsed/>
    <w:rsid w:val="00092DC7"/>
    <w:pPr>
      <w:tabs>
        <w:tab w:val="center" w:pos="4677"/>
        <w:tab w:val="right" w:pos="9355"/>
      </w:tabs>
      <w:spacing w:after="0" w:line="240" w:lineRule="auto"/>
    </w:pPr>
  </w:style>
  <w:style w:type="character" w:customStyle="1" w:styleId="aa">
    <w:name w:val="Нижний колонтитул Знак"/>
    <w:link w:val="a9"/>
    <w:uiPriority w:val="99"/>
    <w:rsid w:val="00092DC7"/>
    <w:rPr>
      <w:rFonts w:cs="Calibri"/>
      <w:lang w:val="ru-RU" w:eastAsia="ru-RU"/>
    </w:rPr>
  </w:style>
  <w:style w:type="table" w:styleId="ab">
    <w:name w:val="Table Grid"/>
    <w:basedOn w:val="a1"/>
    <w:locked/>
    <w:rsid w:val="00C87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nhideWhenUsed/>
    <w:rsid w:val="00353B3A"/>
    <w:pPr>
      <w:spacing w:before="100" w:beforeAutospacing="1" w:after="100" w:afterAutospacing="1" w:line="240" w:lineRule="auto"/>
    </w:pPr>
    <w:rPr>
      <w:rFonts w:ascii="Times New Roman" w:hAnsi="Times New Roman" w:cs="Times New Roman"/>
      <w:sz w:val="24"/>
      <w:szCs w:val="24"/>
    </w:rPr>
  </w:style>
  <w:style w:type="paragraph" w:customStyle="1" w:styleId="1">
    <w:name w:val="Знак Знак1 Знак Знак Знак Знак"/>
    <w:basedOn w:val="a"/>
    <w:rsid w:val="00987F86"/>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4291">
      <w:bodyDiv w:val="1"/>
      <w:marLeft w:val="0"/>
      <w:marRight w:val="0"/>
      <w:marTop w:val="0"/>
      <w:marBottom w:val="0"/>
      <w:divBdr>
        <w:top w:val="none" w:sz="0" w:space="0" w:color="auto"/>
        <w:left w:val="none" w:sz="0" w:space="0" w:color="auto"/>
        <w:bottom w:val="none" w:sz="0" w:space="0" w:color="auto"/>
        <w:right w:val="none" w:sz="0" w:space="0" w:color="auto"/>
      </w:divBdr>
    </w:div>
    <w:div w:id="71435098">
      <w:bodyDiv w:val="1"/>
      <w:marLeft w:val="0"/>
      <w:marRight w:val="0"/>
      <w:marTop w:val="0"/>
      <w:marBottom w:val="0"/>
      <w:divBdr>
        <w:top w:val="none" w:sz="0" w:space="0" w:color="auto"/>
        <w:left w:val="none" w:sz="0" w:space="0" w:color="auto"/>
        <w:bottom w:val="none" w:sz="0" w:space="0" w:color="auto"/>
        <w:right w:val="none" w:sz="0" w:space="0" w:color="auto"/>
      </w:divBdr>
    </w:div>
    <w:div w:id="230164377">
      <w:bodyDiv w:val="1"/>
      <w:marLeft w:val="0"/>
      <w:marRight w:val="0"/>
      <w:marTop w:val="0"/>
      <w:marBottom w:val="0"/>
      <w:divBdr>
        <w:top w:val="none" w:sz="0" w:space="0" w:color="auto"/>
        <w:left w:val="none" w:sz="0" w:space="0" w:color="auto"/>
        <w:bottom w:val="none" w:sz="0" w:space="0" w:color="auto"/>
        <w:right w:val="none" w:sz="0" w:space="0" w:color="auto"/>
      </w:divBdr>
    </w:div>
    <w:div w:id="485821056">
      <w:bodyDiv w:val="1"/>
      <w:marLeft w:val="0"/>
      <w:marRight w:val="0"/>
      <w:marTop w:val="0"/>
      <w:marBottom w:val="0"/>
      <w:divBdr>
        <w:top w:val="none" w:sz="0" w:space="0" w:color="auto"/>
        <w:left w:val="none" w:sz="0" w:space="0" w:color="auto"/>
        <w:bottom w:val="none" w:sz="0" w:space="0" w:color="auto"/>
        <w:right w:val="none" w:sz="0" w:space="0" w:color="auto"/>
      </w:divBdr>
    </w:div>
    <w:div w:id="605574361">
      <w:bodyDiv w:val="1"/>
      <w:marLeft w:val="0"/>
      <w:marRight w:val="0"/>
      <w:marTop w:val="0"/>
      <w:marBottom w:val="0"/>
      <w:divBdr>
        <w:top w:val="none" w:sz="0" w:space="0" w:color="auto"/>
        <w:left w:val="none" w:sz="0" w:space="0" w:color="auto"/>
        <w:bottom w:val="none" w:sz="0" w:space="0" w:color="auto"/>
        <w:right w:val="none" w:sz="0" w:space="0" w:color="auto"/>
      </w:divBdr>
    </w:div>
    <w:div w:id="833451302">
      <w:marLeft w:val="0"/>
      <w:marRight w:val="0"/>
      <w:marTop w:val="0"/>
      <w:marBottom w:val="0"/>
      <w:divBdr>
        <w:top w:val="none" w:sz="0" w:space="0" w:color="auto"/>
        <w:left w:val="none" w:sz="0" w:space="0" w:color="auto"/>
        <w:bottom w:val="none" w:sz="0" w:space="0" w:color="auto"/>
        <w:right w:val="none" w:sz="0" w:space="0" w:color="auto"/>
      </w:divBdr>
    </w:div>
    <w:div w:id="1369640759">
      <w:bodyDiv w:val="1"/>
      <w:marLeft w:val="0"/>
      <w:marRight w:val="0"/>
      <w:marTop w:val="0"/>
      <w:marBottom w:val="0"/>
      <w:divBdr>
        <w:top w:val="none" w:sz="0" w:space="0" w:color="auto"/>
        <w:left w:val="none" w:sz="0" w:space="0" w:color="auto"/>
        <w:bottom w:val="none" w:sz="0" w:space="0" w:color="auto"/>
        <w:right w:val="none" w:sz="0" w:space="0" w:color="auto"/>
      </w:divBdr>
    </w:div>
    <w:div w:id="1401633896">
      <w:bodyDiv w:val="1"/>
      <w:marLeft w:val="0"/>
      <w:marRight w:val="0"/>
      <w:marTop w:val="0"/>
      <w:marBottom w:val="0"/>
      <w:divBdr>
        <w:top w:val="none" w:sz="0" w:space="0" w:color="auto"/>
        <w:left w:val="none" w:sz="0" w:space="0" w:color="auto"/>
        <w:bottom w:val="none" w:sz="0" w:space="0" w:color="auto"/>
        <w:right w:val="none" w:sz="0" w:space="0" w:color="auto"/>
      </w:divBdr>
    </w:div>
    <w:div w:id="1804693767">
      <w:bodyDiv w:val="1"/>
      <w:marLeft w:val="0"/>
      <w:marRight w:val="0"/>
      <w:marTop w:val="0"/>
      <w:marBottom w:val="0"/>
      <w:divBdr>
        <w:top w:val="none" w:sz="0" w:space="0" w:color="auto"/>
        <w:left w:val="none" w:sz="0" w:space="0" w:color="auto"/>
        <w:bottom w:val="none" w:sz="0" w:space="0" w:color="auto"/>
        <w:right w:val="none" w:sz="0" w:space="0" w:color="auto"/>
      </w:divBdr>
    </w:div>
    <w:div w:id="19932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9">
                <a:latin typeface="Times New Roman" pitchFamily="18" charset="0"/>
                <a:cs typeface="Times New Roman" pitchFamily="18" charset="0"/>
              </a:rPr>
              <a:t>Надходження позовних заяв</a:t>
            </a:r>
          </a:p>
        </c:rich>
      </c:tx>
      <c:layout>
        <c:manualLayout>
          <c:xMode val="edge"/>
          <c:yMode val="edge"/>
          <c:x val="0.34376753135608384"/>
          <c:y val="0"/>
        </c:manualLayout>
      </c:layout>
      <c:overlay val="0"/>
    </c:title>
    <c:autoTitleDeleted val="0"/>
    <c:plotArea>
      <c:layout>
        <c:manualLayout>
          <c:layoutTarget val="inner"/>
          <c:xMode val="edge"/>
          <c:yMode val="edge"/>
          <c:x val="0.15554324588660165"/>
          <c:y val="0.11731446359902611"/>
          <c:w val="0.81684587879075665"/>
          <c:h val="0.71759534421765236"/>
        </c:manualLayout>
      </c:layout>
      <c:barChart>
        <c:barDir val="col"/>
        <c:grouping val="clustered"/>
        <c:varyColors val="0"/>
        <c:ser>
          <c:idx val="0"/>
          <c:order val="0"/>
          <c:tx>
            <c:strRef>
              <c:f>Лист1!$B$1</c:f>
              <c:strCache>
                <c:ptCount val="1"/>
                <c:pt idx="0">
                  <c:v>Кількість позовних заяв</c:v>
                </c:pt>
              </c:strCache>
            </c:strRef>
          </c:tx>
          <c:invertIfNegative val="0"/>
          <c:dLbls>
            <c:dLbl>
              <c:idx val="0"/>
              <c:layout>
                <c:manualLayout>
                  <c:x val="4.5732155734890916E-3"/>
                  <c:y val="-5.380391213136410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9197836428705475E-5"/>
                  <c:y val="1.7244642964575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76431215397112E-3"/>
                  <c:y val="3.099856845998827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2617213533327411E-3"/>
                  <c:y val="2.98667260831612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 рік</c:v>
                </c:pt>
                <c:pt idx="1">
                  <c:v>2014 рік</c:v>
                </c:pt>
                <c:pt idx="2">
                  <c:v>2015 рік</c:v>
                </c:pt>
                <c:pt idx="3">
                  <c:v>2016 рік</c:v>
                </c:pt>
                <c:pt idx="4">
                  <c:v>2017 рік</c:v>
                </c:pt>
              </c:strCache>
            </c:strRef>
          </c:cat>
          <c:val>
            <c:numRef>
              <c:f>Лист1!$B$2:$B$6</c:f>
              <c:numCache>
                <c:formatCode>General</c:formatCode>
                <c:ptCount val="5"/>
                <c:pt idx="0">
                  <c:v>10220</c:v>
                </c:pt>
                <c:pt idx="1">
                  <c:v>9811</c:v>
                </c:pt>
                <c:pt idx="2">
                  <c:v>9145</c:v>
                </c:pt>
                <c:pt idx="3">
                  <c:v>4112</c:v>
                </c:pt>
                <c:pt idx="4">
                  <c:v>4075</c:v>
                </c:pt>
              </c:numCache>
            </c:numRef>
          </c:val>
        </c:ser>
        <c:ser>
          <c:idx val="1"/>
          <c:order val="1"/>
          <c:tx>
            <c:strRef>
              <c:f>Лист1!$C$1</c:f>
              <c:strCache>
                <c:ptCount val="1"/>
                <c:pt idx="0">
                  <c:v>Столбец1</c:v>
                </c:pt>
              </c:strCache>
            </c:strRef>
          </c:tx>
          <c:invertIfNegative val="0"/>
          <c:cat>
            <c:strRef>
              <c:f>Лист1!$A$2:$A$6</c:f>
              <c:strCache>
                <c:ptCount val="5"/>
                <c:pt idx="0">
                  <c:v>2013 рік</c:v>
                </c:pt>
                <c:pt idx="1">
                  <c:v>2014 рік</c:v>
                </c:pt>
                <c:pt idx="2">
                  <c:v>2015 рік</c:v>
                </c:pt>
                <c:pt idx="3">
                  <c:v>2016 рік</c:v>
                </c:pt>
                <c:pt idx="4">
                  <c:v>2017 рік</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5"/>
                <c:pt idx="0">
                  <c:v>2013 рік</c:v>
                </c:pt>
                <c:pt idx="1">
                  <c:v>2014 рік</c:v>
                </c:pt>
                <c:pt idx="2">
                  <c:v>2015 рік</c:v>
                </c:pt>
                <c:pt idx="3">
                  <c:v>2016 рік</c:v>
                </c:pt>
                <c:pt idx="4">
                  <c:v>2017 рік</c:v>
                </c:pt>
              </c:strCache>
            </c:strRef>
          </c:cat>
          <c:val>
            <c:numRef>
              <c:f>Лист1!$D$2:$D$6</c:f>
              <c:numCache>
                <c:formatCode>General</c:formatCode>
                <c:ptCount val="5"/>
              </c:numCache>
            </c:numRef>
          </c:val>
        </c:ser>
        <c:dLbls>
          <c:showLegendKey val="0"/>
          <c:showVal val="0"/>
          <c:showCatName val="0"/>
          <c:showSerName val="0"/>
          <c:showPercent val="0"/>
          <c:showBubbleSize val="0"/>
        </c:dLbls>
        <c:gapWidth val="75"/>
        <c:axId val="-836774576"/>
        <c:axId val="-836768592"/>
      </c:barChart>
      <c:catAx>
        <c:axId val="-836774576"/>
        <c:scaling>
          <c:orientation val="minMax"/>
        </c:scaling>
        <c:delete val="0"/>
        <c:axPos val="b"/>
        <c:numFmt formatCode="General" sourceLinked="1"/>
        <c:majorTickMark val="none"/>
        <c:minorTickMark val="none"/>
        <c:tickLblPos val="nextTo"/>
        <c:txPr>
          <a:bodyPr/>
          <a:lstStyle/>
          <a:p>
            <a:pPr algn="just">
              <a:defRPr>
                <a:latin typeface="Times New Roman" pitchFamily="18" charset="0"/>
                <a:cs typeface="Times New Roman" pitchFamily="18" charset="0"/>
              </a:defRPr>
            </a:pPr>
            <a:endParaRPr lang="ru-RU"/>
          </a:p>
        </c:txPr>
        <c:crossAx val="-836768592"/>
        <c:crosses val="autoZero"/>
        <c:auto val="1"/>
        <c:lblAlgn val="l"/>
        <c:lblOffset val="100"/>
        <c:noMultiLvlLbl val="0"/>
      </c:catAx>
      <c:valAx>
        <c:axId val="-836768592"/>
        <c:scaling>
          <c:orientation val="minMax"/>
        </c:scaling>
        <c:delete val="0"/>
        <c:axPos val="l"/>
        <c:majorGridlines/>
        <c:numFmt formatCode="General" sourceLinked="1"/>
        <c:majorTickMark val="none"/>
        <c:minorTickMark val="none"/>
        <c:tickLblPos val="nextTo"/>
        <c:spPr>
          <a:ln w="9519">
            <a:noFill/>
          </a:ln>
        </c:spPr>
        <c:txPr>
          <a:bodyPr/>
          <a:lstStyle/>
          <a:p>
            <a:pPr>
              <a:defRPr>
                <a:latin typeface="Times New Roman" pitchFamily="18" charset="0"/>
                <a:cs typeface="Times New Roman" pitchFamily="18" charset="0"/>
              </a:defRPr>
            </a:pPr>
            <a:endParaRPr lang="ru-RU"/>
          </a:p>
        </c:txPr>
        <c:crossAx val="-836774576"/>
        <c:crosses val="autoZero"/>
        <c:crossBetween val="between"/>
      </c:valAx>
    </c:plotArea>
    <c:plotVisOnly val="1"/>
    <c:dispBlanksAs val="gap"/>
    <c:showDLblsOverMax val="0"/>
  </c:chart>
  <c:spPr>
    <a:ln>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8" b="1">
                <a:latin typeface="Times New Roman" pitchFamily="18" charset="0"/>
                <a:cs typeface="Times New Roman" pitchFamily="18" charset="0"/>
              </a:rPr>
              <a:t>Результати розгляду позовних заяв</a:t>
            </a:r>
          </a:p>
        </c:rich>
      </c:tx>
      <c:overlay val="0"/>
    </c:title>
    <c:autoTitleDeleted val="0"/>
    <c:plotArea>
      <c:layout>
        <c:manualLayout>
          <c:layoutTarget val="inner"/>
          <c:xMode val="edge"/>
          <c:yMode val="edge"/>
          <c:x val="0.40126296260261901"/>
          <c:y val="0.25584476545925644"/>
          <c:w val="0.57303824001166526"/>
          <c:h val="0.65791242558094876"/>
        </c:manualLayout>
      </c:layout>
      <c:barChart>
        <c:barDir val="bar"/>
        <c:grouping val="clustered"/>
        <c:varyColors val="0"/>
        <c:ser>
          <c:idx val="0"/>
          <c:order val="0"/>
          <c:tx>
            <c:strRef>
              <c:f>Лист1!$B$1</c:f>
              <c:strCache>
                <c:ptCount val="1"/>
                <c:pt idx="0">
                  <c:v>Кількість</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Не вирішено питання про прийняття</c:v>
                </c:pt>
                <c:pt idx="1">
                  <c:v>Передано за підсудністю</c:v>
                </c:pt>
                <c:pt idx="2">
                  <c:v>Залишено без розгляду</c:v>
                </c:pt>
                <c:pt idx="3">
                  <c:v>Повернуто</c:v>
                </c:pt>
                <c:pt idx="4">
                  <c:v>Відмовлено у відкритті провадження</c:v>
                </c:pt>
                <c:pt idx="5">
                  <c:v>Відкрито провадження</c:v>
                </c:pt>
              </c:strCache>
            </c:strRef>
          </c:cat>
          <c:val>
            <c:numRef>
              <c:f>Лист1!$B$2:$B$7</c:f>
              <c:numCache>
                <c:formatCode>0.00</c:formatCode>
                <c:ptCount val="6"/>
                <c:pt idx="0">
                  <c:v>7.33</c:v>
                </c:pt>
                <c:pt idx="1">
                  <c:v>0.06</c:v>
                </c:pt>
                <c:pt idx="2">
                  <c:v>0.31</c:v>
                </c:pt>
                <c:pt idx="3">
                  <c:v>10.34</c:v>
                </c:pt>
                <c:pt idx="4">
                  <c:v>1.18</c:v>
                </c:pt>
                <c:pt idx="5">
                  <c:v>80.739999999999995</c:v>
                </c:pt>
              </c:numCache>
            </c:numRef>
          </c:val>
        </c:ser>
        <c:ser>
          <c:idx val="1"/>
          <c:order val="1"/>
          <c:tx>
            <c:strRef>
              <c:f>Лист1!$C$1</c:f>
              <c:strCache>
                <c:ptCount val="1"/>
                <c:pt idx="0">
                  <c:v>Столбец1</c:v>
                </c:pt>
              </c:strCache>
            </c:strRef>
          </c:tx>
          <c:invertIfNegative val="0"/>
          <c:cat>
            <c:strRef>
              <c:f>Лист1!$A$2:$A$7</c:f>
              <c:strCache>
                <c:ptCount val="6"/>
                <c:pt idx="0">
                  <c:v>Не вирішено питання про прийняття</c:v>
                </c:pt>
                <c:pt idx="1">
                  <c:v>Передано за підсудністю</c:v>
                </c:pt>
                <c:pt idx="2">
                  <c:v>Залишено без розгляду</c:v>
                </c:pt>
                <c:pt idx="3">
                  <c:v>Повернуто</c:v>
                </c:pt>
                <c:pt idx="4">
                  <c:v>Відмовлено у відкритті провадження</c:v>
                </c:pt>
                <c:pt idx="5">
                  <c:v>Відкрито провадження</c:v>
                </c:pt>
              </c:strCache>
            </c:strRef>
          </c:cat>
          <c:val>
            <c:numRef>
              <c:f>Лист1!$C$2:$C$7</c:f>
              <c:numCache>
                <c:formatCode>General</c:formatCode>
                <c:ptCount val="6"/>
              </c:numCache>
            </c:numRef>
          </c:val>
        </c:ser>
        <c:dLbls>
          <c:showLegendKey val="0"/>
          <c:showVal val="0"/>
          <c:showCatName val="0"/>
          <c:showSerName val="0"/>
          <c:showPercent val="0"/>
          <c:showBubbleSize val="0"/>
        </c:dLbls>
        <c:gapWidth val="150"/>
        <c:axId val="-765593120"/>
        <c:axId val="-765585504"/>
      </c:barChart>
      <c:catAx>
        <c:axId val="-76559312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65585504"/>
        <c:crosses val="autoZero"/>
        <c:auto val="1"/>
        <c:lblAlgn val="ctr"/>
        <c:lblOffset val="100"/>
        <c:noMultiLvlLbl val="0"/>
      </c:catAx>
      <c:valAx>
        <c:axId val="-765585504"/>
        <c:scaling>
          <c:orientation val="minMax"/>
        </c:scaling>
        <c:delete val="1"/>
        <c:axPos val="b"/>
        <c:majorGridlines>
          <c:spPr>
            <a:ln w="0">
              <a:solidFill>
                <a:schemeClr val="bg1"/>
              </a:solidFill>
            </a:ln>
            <a:effectLst>
              <a:outerShdw blurRad="50800" dist="50800" dir="5400000" algn="ctr" rotWithShape="0">
                <a:schemeClr val="bg1"/>
              </a:outerShdw>
            </a:effectLst>
          </c:spPr>
        </c:majorGridlines>
        <c:numFmt formatCode="0.00" sourceLinked="1"/>
        <c:majorTickMark val="out"/>
        <c:minorTickMark val="none"/>
        <c:tickLblPos val="none"/>
        <c:crossAx val="-7655931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200">
                <a:latin typeface="Times New Roman" pitchFamily="18" charset="0"/>
                <a:cs typeface="Times New Roman" pitchFamily="18" charset="0"/>
              </a:rPr>
              <a:t>Кількість адміністративних справ, що перебували на розгляді</a:t>
            </a:r>
          </a:p>
        </c:rich>
      </c:tx>
      <c:layout>
        <c:manualLayout>
          <c:xMode val="edge"/>
          <c:yMode val="edge"/>
          <c:x val="0.12127512909802712"/>
          <c:y val="4.6752569180814038E-2"/>
        </c:manualLayout>
      </c:layout>
      <c:overlay val="0"/>
    </c:title>
    <c:autoTitleDeleted val="0"/>
    <c:plotArea>
      <c:layout>
        <c:manualLayout>
          <c:layoutTarget val="inner"/>
          <c:xMode val="edge"/>
          <c:yMode val="edge"/>
          <c:x val="9.3311907440141409E-2"/>
          <c:y val="0.26547685443390967"/>
          <c:w val="0.89502628497968362"/>
          <c:h val="0.60100390407138871"/>
        </c:manualLayout>
      </c:layout>
      <c:barChart>
        <c:barDir val="col"/>
        <c:grouping val="clustered"/>
        <c:varyColors val="0"/>
        <c:ser>
          <c:idx val="0"/>
          <c:order val="0"/>
          <c:tx>
            <c:strRef>
              <c:f>Лист1!$B$1</c:f>
              <c:strCache>
                <c:ptCount val="1"/>
                <c:pt idx="0">
                  <c:v>Кількість позовних заяв</c:v>
                </c:pt>
              </c:strCache>
            </c:strRef>
          </c:tx>
          <c:invertIfNegative val="0"/>
          <c:dLbls>
            <c:dLbl>
              <c:idx val="0"/>
              <c:layout>
                <c:manualLayout>
                  <c:x val="6.9500469472284793E-3"/>
                  <c:y val="1.159282197872006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6289999390034626E-3"/>
                  <c:y val="2.31538625239412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3166638726849088E-3"/>
                  <c:y val="2.337583932147485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637733511666616E-3"/>
                  <c:y val="-5.8758138796252066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 рік</c:v>
                </c:pt>
                <c:pt idx="1">
                  <c:v>2014 рік</c:v>
                </c:pt>
                <c:pt idx="2">
                  <c:v>2015 рік</c:v>
                </c:pt>
                <c:pt idx="3">
                  <c:v>2016 рік</c:v>
                </c:pt>
                <c:pt idx="4">
                  <c:v>2017 рік</c:v>
                </c:pt>
              </c:strCache>
            </c:strRef>
          </c:cat>
          <c:val>
            <c:numRef>
              <c:f>Лист1!$B$2:$B$6</c:f>
              <c:numCache>
                <c:formatCode>General</c:formatCode>
                <c:ptCount val="5"/>
                <c:pt idx="0">
                  <c:v>10894</c:v>
                </c:pt>
                <c:pt idx="1">
                  <c:v>10608</c:v>
                </c:pt>
                <c:pt idx="2">
                  <c:v>10655</c:v>
                </c:pt>
                <c:pt idx="3">
                  <c:v>3997</c:v>
                </c:pt>
                <c:pt idx="4">
                  <c:v>4367</c:v>
                </c:pt>
              </c:numCache>
            </c:numRef>
          </c:val>
        </c:ser>
        <c:dLbls>
          <c:showLegendKey val="0"/>
          <c:showVal val="0"/>
          <c:showCatName val="0"/>
          <c:showSerName val="0"/>
          <c:showPercent val="0"/>
          <c:showBubbleSize val="0"/>
        </c:dLbls>
        <c:gapWidth val="75"/>
        <c:axId val="-765590400"/>
        <c:axId val="-765592032"/>
      </c:barChart>
      <c:catAx>
        <c:axId val="-76559040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65592032"/>
        <c:crosses val="autoZero"/>
        <c:auto val="1"/>
        <c:lblAlgn val="ctr"/>
        <c:lblOffset val="100"/>
        <c:noMultiLvlLbl val="0"/>
      </c:catAx>
      <c:valAx>
        <c:axId val="-765592032"/>
        <c:scaling>
          <c:orientation val="minMax"/>
        </c:scaling>
        <c:delete val="0"/>
        <c:axPos val="l"/>
        <c:majorGridlines/>
        <c:numFmt formatCode="General" sourceLinked="1"/>
        <c:majorTickMark val="none"/>
        <c:minorTickMark val="none"/>
        <c:tickLblPos val="nextTo"/>
        <c:spPr>
          <a:ln w="9524">
            <a:noFill/>
          </a:ln>
        </c:spPr>
        <c:txPr>
          <a:bodyPr/>
          <a:lstStyle/>
          <a:p>
            <a:pPr>
              <a:defRPr>
                <a:latin typeface="Times New Roman" pitchFamily="18" charset="0"/>
                <a:cs typeface="Times New Roman" pitchFamily="18" charset="0"/>
              </a:defRPr>
            </a:pPr>
            <a:endParaRPr lang="ru-RU"/>
          </a:p>
        </c:txPr>
        <c:crossAx val="-76559040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view3D>
      <c:rotX val="40"/>
      <c:rotY val="10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Результати розгляду справ</c:v>
                </c:pt>
              </c:strCache>
            </c:strRef>
          </c:tx>
          <c:explosion val="25"/>
          <c:dLbls>
            <c:dLbl>
              <c:idx val="0"/>
              <c:layout>
                <c:manualLayout>
                  <c:x val="0.19223880869058035"/>
                  <c:y val="-0.15055613121642591"/>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9.9867308253135265E-2"/>
                  <c:y val="2.6688660717854116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100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5"/>
                <c:pt idx="0">
                  <c:v>Прийнято постанову</c:v>
                </c:pt>
                <c:pt idx="1">
                  <c:v>Винесено ухвалу про залишення позовної заяви без розгляду</c:v>
                </c:pt>
                <c:pt idx="2">
                  <c:v>Винено ухвалу про закриття провадження у справі</c:v>
                </c:pt>
                <c:pt idx="3">
                  <c:v>Винесено ухвалу про передачу справи до іншого суду</c:v>
                </c:pt>
                <c:pt idx="4">
                  <c:v>Залишок нерозглянутих справ</c:v>
                </c:pt>
              </c:strCache>
            </c:strRef>
          </c:cat>
          <c:val>
            <c:numRef>
              <c:f>Лист1!$B$2:$B$7</c:f>
              <c:numCache>
                <c:formatCode>General</c:formatCode>
                <c:ptCount val="5"/>
                <c:pt idx="0">
                  <c:v>70.3</c:v>
                </c:pt>
                <c:pt idx="1">
                  <c:v>5.7</c:v>
                </c:pt>
                <c:pt idx="2">
                  <c:v>2.9</c:v>
                </c:pt>
                <c:pt idx="3">
                  <c:v>0.3</c:v>
                </c:pt>
                <c:pt idx="4">
                  <c:v>20.7</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00"/>
          </a:pPr>
          <a:endParaRPr lang="ru-RU"/>
        </a:p>
      </c:txPr>
    </c:legend>
    <c:plotVisOnly val="1"/>
    <c:dispBlanksAs val="zero"/>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064911177949525E-2"/>
          <c:y val="5.8237012465278556E-2"/>
          <c:w val="0.78124227715444761"/>
          <c:h val="0.84236278794332919"/>
        </c:manualLayout>
      </c:layout>
      <c:barChart>
        <c:barDir val="bar"/>
        <c:grouping val="clustered"/>
        <c:varyColors val="0"/>
        <c:ser>
          <c:idx val="0"/>
          <c:order val="0"/>
          <c:tx>
            <c:strRef>
              <c:f>Лист1!$B$1</c:f>
              <c:strCache>
                <c:ptCount val="1"/>
                <c:pt idx="0">
                  <c:v>Кількість справ у 2017 році</c:v>
                </c:pt>
              </c:strCache>
            </c:strRef>
          </c:tx>
          <c:invertIfNegative val="0"/>
          <c:dLbls>
            <c:dLbl>
              <c:idx val="1"/>
              <c:layout>
                <c:manualLayout>
                  <c:x val="9.5454019952298943E-18"/>
                  <c:y val="3.643762796206407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643762796206407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5454019952298943E-18"/>
                  <c:y val="3.643762796206407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643762796206407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643762796206407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5454019952298943E-18"/>
                  <c:y val="3.643762796206407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3322515541624541E-2"/>
                  <c:y val="3.279472589722644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43762796206407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7.2875255924127113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3.6437627962064073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3.6437627962064073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3.64376279620640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14</c:v>
                </c:pt>
              </c:numCache>
            </c:numRef>
          </c:cat>
          <c:val>
            <c:numRef>
              <c:f>Лист1!$B$2:$B$14</c:f>
              <c:numCache>
                <c:formatCode>General</c:formatCode>
                <c:ptCount val="13"/>
                <c:pt idx="0">
                  <c:v>5</c:v>
                </c:pt>
                <c:pt idx="1">
                  <c:v>41</c:v>
                </c:pt>
                <c:pt idx="2">
                  <c:v>184</c:v>
                </c:pt>
                <c:pt idx="3">
                  <c:v>5</c:v>
                </c:pt>
                <c:pt idx="4">
                  <c:v>151</c:v>
                </c:pt>
                <c:pt idx="5">
                  <c:v>134</c:v>
                </c:pt>
                <c:pt idx="6">
                  <c:v>22</c:v>
                </c:pt>
                <c:pt idx="7">
                  <c:v>1400</c:v>
                </c:pt>
                <c:pt idx="8">
                  <c:v>195</c:v>
                </c:pt>
                <c:pt idx="9">
                  <c:v>1091</c:v>
                </c:pt>
                <c:pt idx="10">
                  <c:v>109</c:v>
                </c:pt>
                <c:pt idx="11">
                  <c:v>245</c:v>
                </c:pt>
                <c:pt idx="12">
                  <c:v>0</c:v>
                </c:pt>
              </c:numCache>
            </c:numRef>
          </c:val>
        </c:ser>
        <c:ser>
          <c:idx val="1"/>
          <c:order val="1"/>
          <c:tx>
            <c:strRef>
              <c:f>Лист1!$C$1</c:f>
              <c:strCache>
                <c:ptCount val="1"/>
                <c:pt idx="0">
                  <c:v>Кількість справ у 2016 році</c:v>
                </c:pt>
              </c:strCache>
            </c:strRef>
          </c:tx>
          <c:invertIfNegative val="0"/>
          <c:dLbls>
            <c:dLbl>
              <c:idx val="0"/>
              <c:layout>
                <c:manualLayout>
                  <c:x val="0"/>
                  <c:y val="-7.287525592412711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1653144427030664E-2"/>
                  <c:y val="2.91501023696508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14</c:v>
                </c:pt>
              </c:numCache>
            </c:numRef>
          </c:cat>
          <c:val>
            <c:numRef>
              <c:f>Лист1!$C$2:$C$14</c:f>
              <c:numCache>
                <c:formatCode>General</c:formatCode>
                <c:ptCount val="13"/>
                <c:pt idx="0">
                  <c:v>3</c:v>
                </c:pt>
                <c:pt idx="1">
                  <c:v>26</c:v>
                </c:pt>
                <c:pt idx="2">
                  <c:v>135</c:v>
                </c:pt>
                <c:pt idx="3">
                  <c:v>20</c:v>
                </c:pt>
                <c:pt idx="4">
                  <c:v>361</c:v>
                </c:pt>
                <c:pt idx="5">
                  <c:v>149</c:v>
                </c:pt>
                <c:pt idx="6">
                  <c:v>12</c:v>
                </c:pt>
                <c:pt idx="7">
                  <c:v>1636</c:v>
                </c:pt>
                <c:pt idx="8">
                  <c:v>210</c:v>
                </c:pt>
                <c:pt idx="9">
                  <c:v>209</c:v>
                </c:pt>
                <c:pt idx="10">
                  <c:v>110</c:v>
                </c:pt>
                <c:pt idx="11">
                  <c:v>249</c:v>
                </c:pt>
                <c:pt idx="12">
                  <c:v>0</c:v>
                </c:pt>
              </c:numCache>
            </c:numRef>
          </c:val>
        </c:ser>
        <c:dLbls>
          <c:showLegendKey val="0"/>
          <c:showVal val="0"/>
          <c:showCatName val="0"/>
          <c:showSerName val="0"/>
          <c:showPercent val="0"/>
          <c:showBubbleSize val="0"/>
        </c:dLbls>
        <c:gapWidth val="150"/>
        <c:axId val="-765595296"/>
        <c:axId val="-765599648"/>
      </c:barChart>
      <c:catAx>
        <c:axId val="-765595296"/>
        <c:scaling>
          <c:orientation val="maxMin"/>
        </c:scaling>
        <c:delete val="0"/>
        <c:axPos val="l"/>
        <c:numFmt formatCode="General" sourceLinked="1"/>
        <c:majorTickMark val="cross"/>
        <c:minorTickMark val="none"/>
        <c:tickLblPos val="low"/>
        <c:txPr>
          <a:bodyPr/>
          <a:lstStyle/>
          <a:p>
            <a:pPr>
              <a:defRPr>
                <a:latin typeface="Times New Roman" pitchFamily="18" charset="0"/>
                <a:cs typeface="Times New Roman" pitchFamily="18" charset="0"/>
              </a:defRPr>
            </a:pPr>
            <a:endParaRPr lang="ru-RU"/>
          </a:p>
        </c:txPr>
        <c:crossAx val="-765599648"/>
        <c:crosses val="autoZero"/>
        <c:auto val="0"/>
        <c:lblAlgn val="ctr"/>
        <c:lblOffset val="100"/>
        <c:noMultiLvlLbl val="0"/>
      </c:catAx>
      <c:valAx>
        <c:axId val="-765599648"/>
        <c:scaling>
          <c:orientation val="minMax"/>
          <c:max val="8000"/>
        </c:scaling>
        <c:delete val="0"/>
        <c:axPos val="t"/>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6559529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Суми стягнення, на які видано виконавчі документи за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перше півріччя (грн.)</a:t>
            </a:r>
          </a:p>
        </c:rich>
      </c:tx>
      <c:overlay val="0"/>
    </c:title>
    <c:autoTitleDeleted val="0"/>
    <c:plotArea>
      <c:layout/>
      <c:lineChart>
        <c:grouping val="standard"/>
        <c:varyColors val="0"/>
        <c:ser>
          <c:idx val="0"/>
          <c:order val="0"/>
          <c:tx>
            <c:strRef>
              <c:f>Лист1!$B$1</c:f>
              <c:strCache>
                <c:ptCount val="1"/>
                <c:pt idx="0">
                  <c:v>Суми стягнення, на які видано виконавчі документи за 1 півріччя (грн.)</c:v>
                </c:pt>
              </c:strCache>
            </c:strRef>
          </c:tx>
          <c:dLbls>
            <c:dLbl>
              <c:idx val="0"/>
              <c:layout>
                <c:manualLayout>
                  <c:x val="0"/>
                  <c:y val="1.19047619047619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828005703905191E-3"/>
                  <c:y val="1.5273952824862415E-2"/>
                </c:manualLayout>
              </c:layout>
              <c:showLegendKey val="0"/>
              <c:showVal val="1"/>
              <c:showCatName val="0"/>
              <c:showSerName val="0"/>
              <c:showPercent val="0"/>
              <c:showBubbleSize val="0"/>
              <c:extLst>
                <c:ext xmlns:c15="http://schemas.microsoft.com/office/drawing/2012/chart" uri="{CE6537A1-D6FC-4f65-9D91-7224C49458BB}">
                  <c15:layout>
                    <c:manualLayout>
                      <c:w val="0.15877211147195439"/>
                      <c:h val="0.11767925561029009"/>
                    </c:manualLayout>
                  </c15:layout>
                </c:ext>
              </c:extLst>
            </c:dLbl>
            <c:dLbl>
              <c:idx val="4"/>
              <c:layout>
                <c:manualLayout>
                  <c:x val="-1.9243104554201411E-2"/>
                  <c:y val="-6.568144499178992E-2"/>
                </c:manualLayout>
              </c:layout>
              <c:showLegendKey val="0"/>
              <c:showVal val="1"/>
              <c:showCatName val="0"/>
              <c:showSerName val="0"/>
              <c:showPercent val="0"/>
              <c:showBubbleSize val="0"/>
              <c:extLst>
                <c:ext xmlns:c15="http://schemas.microsoft.com/office/drawing/2012/chart" uri="{CE6537A1-D6FC-4f65-9D91-7224C49458BB}">
                  <c15:layout>
                    <c:manualLayout>
                      <c:w val="0.15180671370536669"/>
                      <c:h val="7.3891625615763554E-2"/>
                    </c:manualLayout>
                  </c15:layout>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_-* #,##0.00_р_._-;\-* #,##0.00_р_._-;_-* "-"??_р_._-;_-@_-</c:formatCode>
                <c:ptCount val="5"/>
                <c:pt idx="0">
                  <c:v>222233732</c:v>
                </c:pt>
                <c:pt idx="1">
                  <c:v>437011265</c:v>
                </c:pt>
                <c:pt idx="2">
                  <c:v>279257288</c:v>
                </c:pt>
                <c:pt idx="3">
                  <c:v>63067656</c:v>
                </c:pt>
                <c:pt idx="4">
                  <c:v>125959175</c:v>
                </c:pt>
              </c:numCache>
            </c:numRef>
          </c:val>
          <c:smooth val="0"/>
        </c:ser>
        <c:dLbls>
          <c:showLegendKey val="0"/>
          <c:showVal val="0"/>
          <c:showCatName val="0"/>
          <c:showSerName val="0"/>
          <c:showPercent val="0"/>
          <c:showBubbleSize val="0"/>
        </c:dLbls>
        <c:marker val="1"/>
        <c:smooth val="0"/>
        <c:axId val="-765587136"/>
        <c:axId val="-765596384"/>
      </c:lineChart>
      <c:catAx>
        <c:axId val="-7655871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65596384"/>
        <c:crosses val="autoZero"/>
        <c:auto val="1"/>
        <c:lblAlgn val="ctr"/>
        <c:lblOffset val="100"/>
        <c:noMultiLvlLbl val="0"/>
      </c:catAx>
      <c:valAx>
        <c:axId val="-765596384"/>
        <c:scaling>
          <c:orientation val="minMax"/>
        </c:scaling>
        <c:delete val="0"/>
        <c:axPos val="l"/>
        <c:majorGridlines/>
        <c:numFmt formatCode="_-* #,##0.00_р_._-;\-* #,##0.00_р_._-;_-* &quot;-&quot;??_р_._-;_-@_-"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65587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F8EE-545F-4888-82DD-934DFFEE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7918</TotalTime>
  <Pages>9</Pages>
  <Words>2709</Words>
  <Characters>15446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KFNUVS</Company>
  <LinksUpToDate>false</LinksUpToDate>
  <CharactersWithSpaces>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kovtp</dc:creator>
  <cp:lastModifiedBy>Вороніна Вікторія Лойзевна</cp:lastModifiedBy>
  <cp:revision>475</cp:revision>
  <cp:lastPrinted>2017-01-20T09:52:00Z</cp:lastPrinted>
  <dcterms:created xsi:type="dcterms:W3CDTF">2013-01-16T12:33:00Z</dcterms:created>
  <dcterms:modified xsi:type="dcterms:W3CDTF">2018-02-05T07:21:00Z</dcterms:modified>
</cp:coreProperties>
</file>